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2.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drawings/drawing3.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charts/chart7.xml" ContentType="application/vnd.openxmlformats-officedocument.drawingml.chart+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drawings/drawing4.xml" ContentType="application/vnd.openxmlformats-officedocument.drawingml.chartshapes+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7F578B" w14:textId="0C4A87B2" w:rsidR="00086021" w:rsidRDefault="00427B15">
      <w:pPr>
        <w:pStyle w:val="Heading1"/>
      </w:pPr>
      <w:r>
        <w:rPr>
          <w:caps w:val="0"/>
        </w:rPr>
        <w:t>HEALTH FINANCING SITUATION ANALYSIS REPORT</w:t>
      </w:r>
    </w:p>
    <w:p w14:paraId="039063A0" w14:textId="77777777" w:rsidR="00A6595C" w:rsidRPr="00A6595C" w:rsidRDefault="00A6595C" w:rsidP="00A6595C"/>
    <w:p w14:paraId="504E24EB" w14:textId="652E0987" w:rsidR="00086021" w:rsidRDefault="009E19AB">
      <w:pPr>
        <w:pStyle w:val="BodyText"/>
        <w:spacing w:line="240" w:lineRule="auto"/>
        <w:rPr>
          <w:b/>
          <w:bCs/>
          <w:sz w:val="24"/>
        </w:rPr>
      </w:pPr>
      <w:r>
        <w:rPr>
          <w:b/>
          <w:bCs/>
          <w:sz w:val="24"/>
        </w:rPr>
        <w:t xml:space="preserve">Domestic Resource </w:t>
      </w:r>
      <w:r w:rsidR="00A45B97">
        <w:rPr>
          <w:b/>
          <w:bCs/>
          <w:sz w:val="24"/>
        </w:rPr>
        <w:t xml:space="preserve">Mobilization </w:t>
      </w:r>
      <w:r>
        <w:rPr>
          <w:b/>
          <w:bCs/>
          <w:sz w:val="24"/>
        </w:rPr>
        <w:t xml:space="preserve">for Key </w:t>
      </w:r>
    </w:p>
    <w:p w14:paraId="60EB38C4" w14:textId="77777777" w:rsidR="00086021" w:rsidRDefault="009E19AB">
      <w:pPr>
        <w:pStyle w:val="BodyText"/>
        <w:spacing w:line="240" w:lineRule="auto"/>
        <w:rPr>
          <w:b/>
          <w:bCs/>
          <w:sz w:val="24"/>
        </w:rPr>
      </w:pPr>
      <w:r>
        <w:rPr>
          <w:b/>
          <w:bCs/>
          <w:sz w:val="24"/>
        </w:rPr>
        <w:t xml:space="preserve">Populations (KPs) and Adolescents, Girls &amp; </w:t>
      </w:r>
    </w:p>
    <w:p w14:paraId="3AED9889" w14:textId="77777777" w:rsidR="00086021" w:rsidRDefault="009E19AB">
      <w:pPr>
        <w:pStyle w:val="BodyText"/>
        <w:spacing w:line="240" w:lineRule="auto"/>
        <w:rPr>
          <w:b/>
          <w:bCs/>
          <w:sz w:val="24"/>
        </w:rPr>
      </w:pPr>
      <w:r>
        <w:rPr>
          <w:b/>
          <w:bCs/>
          <w:sz w:val="24"/>
        </w:rPr>
        <w:t>Young Women (AGYW) in Kenya</w:t>
      </w:r>
    </w:p>
    <w:p w14:paraId="480197BC" w14:textId="77777777" w:rsidR="00086021" w:rsidRDefault="00086021">
      <w:pPr>
        <w:spacing w:line="260" w:lineRule="exact"/>
        <w:rPr>
          <w:rFonts w:ascii="FF Mark Pro AF Book" w:hAnsi="FF Mark Pro AF Book"/>
          <w:sz w:val="19"/>
          <w:szCs w:val="19"/>
        </w:rPr>
      </w:pPr>
    </w:p>
    <w:p w14:paraId="0026EA95" w14:textId="77777777" w:rsidR="00086021" w:rsidRDefault="00086021">
      <w:pPr>
        <w:spacing w:line="260" w:lineRule="exact"/>
        <w:rPr>
          <w:rFonts w:ascii="FF Mark Pro AF Book" w:hAnsi="FF Mark Pro AF Book"/>
          <w:sz w:val="19"/>
          <w:szCs w:val="19"/>
        </w:rPr>
      </w:pPr>
    </w:p>
    <w:p w14:paraId="7001FD17" w14:textId="77777777" w:rsidR="00086021" w:rsidRDefault="00086021">
      <w:pPr>
        <w:spacing w:line="260" w:lineRule="exact"/>
        <w:rPr>
          <w:rFonts w:ascii="FF Mark Pro AF Book" w:hAnsi="FF Mark Pro AF Book"/>
          <w:sz w:val="19"/>
          <w:szCs w:val="19"/>
        </w:rPr>
      </w:pPr>
    </w:p>
    <w:p w14:paraId="17574695" w14:textId="2BAB1D31" w:rsidR="00086021" w:rsidRDefault="00C80431">
      <w:pPr>
        <w:spacing w:line="260" w:lineRule="exact"/>
        <w:rPr>
          <w:rFonts w:ascii="FF Mark Pro AF Book" w:hAnsi="FF Mark Pro AF Book"/>
          <w:sz w:val="19"/>
          <w:szCs w:val="19"/>
        </w:rPr>
      </w:pPr>
      <w:r w:rsidRPr="00A77C09">
        <w:rPr>
          <w:noProof/>
        </w:rPr>
        <w:drawing>
          <wp:anchor distT="0" distB="0" distL="114300" distR="114300" simplePos="0" relativeHeight="251659264" behindDoc="0" locked="0" layoutInCell="1" allowOverlap="1" wp14:anchorId="5DCF9212" wp14:editId="56459249">
            <wp:simplePos x="0" y="0"/>
            <wp:positionH relativeFrom="margin">
              <wp:align>right</wp:align>
            </wp:positionH>
            <wp:positionV relativeFrom="paragraph">
              <wp:posOffset>5080</wp:posOffset>
            </wp:positionV>
            <wp:extent cx="5401945" cy="3990975"/>
            <wp:effectExtent l="0" t="0" r="8255" b="9525"/>
            <wp:wrapNone/>
            <wp:docPr id="57" name="Picture 4">
              <a:extLst xmlns:a="http://schemas.openxmlformats.org/drawingml/2006/main">
                <a:ext uri="{FF2B5EF4-FFF2-40B4-BE49-F238E27FC236}">
                  <a16:creationId xmlns:a16="http://schemas.microsoft.com/office/drawing/2014/main" id="{11E1CC3D-973A-4953-BBB7-1E39D438F4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11E1CC3D-973A-4953-BBB7-1E39D438F494}"/>
                        </a:ext>
                      </a:extLst>
                    </pic:cNvPr>
                    <pic:cNvPicPr>
                      <a:picLocks noChangeAspect="1"/>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rcRect l="14091" r="14091"/>
                    <a:stretch/>
                  </pic:blipFill>
                  <pic:spPr>
                    <a:xfrm>
                      <a:off x="0" y="0"/>
                      <a:ext cx="5401945" cy="3990975"/>
                    </a:xfrm>
                    <a:prstGeom prst="rect">
                      <a:avLst/>
                    </a:prstGeom>
                  </pic:spPr>
                </pic:pic>
              </a:graphicData>
            </a:graphic>
            <wp14:sizeRelV relativeFrom="margin">
              <wp14:pctHeight>0</wp14:pctHeight>
            </wp14:sizeRelV>
          </wp:anchor>
        </w:drawing>
      </w:r>
    </w:p>
    <w:p w14:paraId="0A3B814C" w14:textId="6D6736B8" w:rsidR="00086021" w:rsidRDefault="00086021">
      <w:pPr>
        <w:spacing w:line="260" w:lineRule="exact"/>
        <w:rPr>
          <w:rFonts w:ascii="FF Mark Pro AF Book" w:hAnsi="FF Mark Pro AF Book"/>
          <w:sz w:val="19"/>
          <w:szCs w:val="19"/>
        </w:rPr>
      </w:pPr>
    </w:p>
    <w:p w14:paraId="27DBF8CF" w14:textId="2E37742A" w:rsidR="00086021" w:rsidRDefault="00A77C09">
      <w:pPr>
        <w:spacing w:line="260" w:lineRule="exact"/>
        <w:rPr>
          <w:rFonts w:ascii="FF Mark Pro AF Book" w:hAnsi="FF Mark Pro AF Book"/>
          <w:sz w:val="19"/>
          <w:szCs w:val="19"/>
        </w:rPr>
      </w:pPr>
      <w:r w:rsidRPr="00A77C09">
        <w:rPr>
          <w:noProof/>
        </w:rPr>
        <mc:AlternateContent>
          <mc:Choice Requires="wps">
            <w:drawing>
              <wp:anchor distT="0" distB="0" distL="114300" distR="114300" simplePos="0" relativeHeight="251660288" behindDoc="0" locked="0" layoutInCell="1" allowOverlap="1" wp14:anchorId="14E226AE" wp14:editId="42F28EB1">
                <wp:simplePos x="0" y="0"/>
                <wp:positionH relativeFrom="column">
                  <wp:posOffset>5659120</wp:posOffset>
                </wp:positionH>
                <wp:positionV relativeFrom="paragraph">
                  <wp:posOffset>6626225</wp:posOffset>
                </wp:positionV>
                <wp:extent cx="2156360" cy="230832"/>
                <wp:effectExtent l="0" t="0" r="7620" b="0"/>
                <wp:wrapNone/>
                <wp:docPr id="56" name="TextBox 5"/>
                <wp:cNvGraphicFramePr/>
                <a:graphic xmlns:a="http://schemas.openxmlformats.org/drawingml/2006/main">
                  <a:graphicData uri="http://schemas.microsoft.com/office/word/2010/wordprocessingShape">
                    <wps:wsp>
                      <wps:cNvSpPr txBox="1"/>
                      <wps:spPr>
                        <a:xfrm>
                          <a:off x="0" y="0"/>
                          <a:ext cx="2156360" cy="230832"/>
                        </a:xfrm>
                        <a:prstGeom prst="rect">
                          <a:avLst/>
                        </a:prstGeom>
                        <a:solidFill>
                          <a:srgbClr val="000000"/>
                        </a:solidFill>
                      </wps:spPr>
                      <wps:txbx>
                        <w:txbxContent>
                          <w:p w14:paraId="52B3610D" w14:textId="77777777" w:rsidR="00B81FD0" w:rsidRDefault="00B81FD0" w:rsidP="00A77C09">
                            <w:pPr>
                              <w:rPr>
                                <w:sz w:val="24"/>
                              </w:rPr>
                            </w:pPr>
                            <w:r>
                              <w:fldChar w:fldCharType="begin"/>
                            </w:r>
                            <w:r>
                              <w:instrText xml:space="preserve"> HYPERLINK "http://brewminate.com/sociological-perspective-and-the-elements-of-culture/" </w:instrText>
                            </w:r>
                            <w:r>
                              <w:fldChar w:fldCharType="separate"/>
                            </w:r>
                            <w:r>
                              <w:rPr>
                                <w:rStyle w:val="Hyperlink"/>
                                <w:rFonts w:ascii="Abadi Extra Light" w:eastAsia="+mn-ea" w:hAnsi="Abadi Extra Light" w:cs="+mn-cs"/>
                                <w:color w:val="FFFFFF"/>
                                <w:kern w:val="24"/>
                                <w:szCs w:val="18"/>
                              </w:rPr>
                              <w:t>This Photo</w:t>
                            </w:r>
                            <w:r>
                              <w:rPr>
                                <w:rStyle w:val="Hyperlink"/>
                                <w:rFonts w:ascii="Abadi Extra Light" w:eastAsia="+mn-ea" w:hAnsi="Abadi Extra Light" w:cs="+mn-cs"/>
                                <w:color w:val="FFFFFF"/>
                                <w:kern w:val="24"/>
                                <w:szCs w:val="18"/>
                              </w:rPr>
                              <w:fldChar w:fldCharType="end"/>
                            </w:r>
                            <w:r>
                              <w:rPr>
                                <w:rFonts w:ascii="Abadi Extra Light" w:eastAsia="+mn-ea" w:hAnsi="Abadi Extra Light" w:cs="+mn-cs"/>
                                <w:color w:val="FFFFFF"/>
                                <w:kern w:val="24"/>
                                <w:szCs w:val="18"/>
                              </w:rPr>
                              <w:t xml:space="preserve">  is licensed under </w:t>
                            </w:r>
                            <w:hyperlink r:id="rId10" w:history="1">
                              <w:r>
                                <w:rPr>
                                  <w:rStyle w:val="Hyperlink"/>
                                  <w:rFonts w:ascii="Abadi Extra Light" w:eastAsia="+mn-ea" w:hAnsi="Abadi Extra Light" w:cs="+mn-cs"/>
                                  <w:color w:val="FFFFFF"/>
                                  <w:kern w:val="24"/>
                                  <w:szCs w:val="18"/>
                                </w:rPr>
                                <w:t>CC BY-SA-NC</w:t>
                              </w:r>
                            </w:hyperlink>
                          </w:p>
                        </w:txbxContent>
                      </wps:txbx>
                      <wps:bodyPr wrap="none" rtlCol="0">
                        <a:spAutoFit/>
                      </wps:bodyPr>
                    </wps:wsp>
                  </a:graphicData>
                </a:graphic>
              </wp:anchor>
            </w:drawing>
          </mc:Choice>
          <mc:Fallback>
            <w:pict>
              <v:shapetype w14:anchorId="14E226AE" id="_x0000_t202" coordsize="21600,21600" o:spt="202" path="m,l,21600r21600,l21600,xe">
                <v:stroke joinstyle="miter"/>
                <v:path gradientshapeok="t" o:connecttype="rect"/>
              </v:shapetype>
              <v:shape id="TextBox 5" o:spid="_x0000_s1026" type="#_x0000_t202" style="position:absolute;margin-left:445.6pt;margin-top:521.75pt;width:169.8pt;height:18.2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" fillcolor="black" stroked="f">
                <v:textbox style="mso-fit-shape-to-text:t">
                  <w:txbxContent>
                    <w:p w14:paraId="52B3610D" w14:textId="77777777" w:rsidR="00B81FD0" w:rsidRDefault="00B81FD0" w:rsidP="00A77C09">
                      <w:pPr>
                        <w:rPr>
                          <w:sz w:val="24"/>
                        </w:rPr>
                      </w:pPr>
                      <w:r>
                        <w:fldChar w:fldCharType="begin"/>
                      </w:r>
                      <w:r>
                        <w:instrText xml:space="preserve"> HYPERLINK "http://brewminate.com/sociological-perspective-and-the-elements-of-culture/" </w:instrText>
                      </w:r>
                      <w:r>
                        <w:fldChar w:fldCharType="separate"/>
                      </w:r>
                      <w:r>
                        <w:rPr>
                          <w:rStyle w:val="Hyperlink"/>
                          <w:rFonts w:ascii="Abadi Extra Light" w:eastAsia="+mn-ea" w:hAnsi="Abadi Extra Light" w:cs="+mn-cs"/>
                          <w:color w:val="FFFFFF"/>
                          <w:kern w:val="24"/>
                          <w:szCs w:val="18"/>
                        </w:rPr>
                        <w:t>This Photo</w:t>
                      </w:r>
                      <w:r>
                        <w:rPr>
                          <w:rStyle w:val="Hyperlink"/>
                          <w:rFonts w:ascii="Abadi Extra Light" w:eastAsia="+mn-ea" w:hAnsi="Abadi Extra Light" w:cs="+mn-cs"/>
                          <w:color w:val="FFFFFF"/>
                          <w:kern w:val="24"/>
                          <w:szCs w:val="18"/>
                        </w:rPr>
                        <w:fldChar w:fldCharType="end"/>
                      </w:r>
                      <w:r>
                        <w:rPr>
                          <w:rFonts w:ascii="Abadi Extra Light" w:eastAsia="+mn-ea" w:hAnsi="Abadi Extra Light" w:cs="+mn-cs"/>
                          <w:color w:val="FFFFFF"/>
                          <w:kern w:val="24"/>
                          <w:szCs w:val="18"/>
                        </w:rPr>
                        <w:t xml:space="preserve">  is licensed under </w:t>
                      </w:r>
                      <w:hyperlink r:id="rId11" w:history="1">
                        <w:r>
                          <w:rPr>
                            <w:rStyle w:val="Hyperlink"/>
                            <w:rFonts w:ascii="Abadi Extra Light" w:eastAsia="+mn-ea" w:hAnsi="Abadi Extra Light" w:cs="+mn-cs"/>
                            <w:color w:val="FFFFFF"/>
                            <w:kern w:val="24"/>
                            <w:szCs w:val="18"/>
                          </w:rPr>
                          <w:t>CC BY-SA-NC</w:t>
                        </w:r>
                      </w:hyperlink>
                    </w:p>
                  </w:txbxContent>
                </v:textbox>
              </v:shape>
            </w:pict>
          </mc:Fallback>
        </mc:AlternateContent>
      </w:r>
    </w:p>
    <w:p w14:paraId="3CE4D984" w14:textId="77777777" w:rsidR="00086021" w:rsidRDefault="00086021">
      <w:pPr>
        <w:spacing w:line="260" w:lineRule="exact"/>
        <w:rPr>
          <w:rFonts w:ascii="FF Mark Pro AF Book" w:hAnsi="FF Mark Pro AF Book"/>
          <w:sz w:val="19"/>
          <w:szCs w:val="19"/>
        </w:rPr>
      </w:pPr>
    </w:p>
    <w:p w14:paraId="32797F43" w14:textId="77777777" w:rsidR="00086021" w:rsidRDefault="00086021">
      <w:pPr>
        <w:spacing w:line="260" w:lineRule="exact"/>
        <w:rPr>
          <w:rFonts w:ascii="FF Mark Pro AF Book" w:hAnsi="FF Mark Pro AF Book"/>
          <w:sz w:val="19"/>
          <w:szCs w:val="19"/>
        </w:rPr>
      </w:pPr>
    </w:p>
    <w:p w14:paraId="7A13ECCD" w14:textId="77777777" w:rsidR="00086021" w:rsidRDefault="00086021">
      <w:pPr>
        <w:spacing w:line="260" w:lineRule="exact"/>
        <w:rPr>
          <w:rFonts w:ascii="FF Mark Pro AF Book" w:hAnsi="FF Mark Pro AF Book"/>
          <w:sz w:val="19"/>
          <w:szCs w:val="19"/>
        </w:rPr>
      </w:pPr>
    </w:p>
    <w:p w14:paraId="69706EE7" w14:textId="77777777" w:rsidR="00086021" w:rsidRDefault="00086021">
      <w:pPr>
        <w:spacing w:line="260" w:lineRule="exact"/>
        <w:rPr>
          <w:rFonts w:ascii="FF Mark Pro AF Book" w:hAnsi="FF Mark Pro AF Book"/>
          <w:sz w:val="19"/>
          <w:szCs w:val="19"/>
        </w:rPr>
      </w:pPr>
    </w:p>
    <w:p w14:paraId="195B8CA1" w14:textId="77777777" w:rsidR="00086021" w:rsidRDefault="00086021">
      <w:pPr>
        <w:spacing w:line="260" w:lineRule="exact"/>
        <w:rPr>
          <w:rFonts w:ascii="FF Mark Pro AF Book" w:hAnsi="FF Mark Pro AF Book"/>
          <w:sz w:val="19"/>
          <w:szCs w:val="19"/>
        </w:rPr>
      </w:pPr>
    </w:p>
    <w:p w14:paraId="682EC7DD" w14:textId="77777777" w:rsidR="00086021" w:rsidRDefault="00086021">
      <w:pPr>
        <w:spacing w:line="260" w:lineRule="exact"/>
        <w:rPr>
          <w:rFonts w:ascii="FF Mark Pro AF Book" w:hAnsi="FF Mark Pro AF Book"/>
          <w:sz w:val="19"/>
          <w:szCs w:val="19"/>
        </w:rPr>
      </w:pPr>
    </w:p>
    <w:p w14:paraId="65B65F25" w14:textId="77777777" w:rsidR="00086021" w:rsidRDefault="00086021">
      <w:pPr>
        <w:spacing w:line="260" w:lineRule="exact"/>
        <w:rPr>
          <w:rFonts w:ascii="FF Mark Pro AF Book" w:hAnsi="FF Mark Pro AF Book"/>
          <w:sz w:val="19"/>
          <w:szCs w:val="19"/>
        </w:rPr>
      </w:pPr>
    </w:p>
    <w:p w14:paraId="206D03EE" w14:textId="77777777" w:rsidR="00086021" w:rsidRDefault="00086021">
      <w:pPr>
        <w:spacing w:line="260" w:lineRule="exact"/>
        <w:rPr>
          <w:rFonts w:ascii="FF Mark Pro AF Book" w:hAnsi="FF Mark Pro AF Book"/>
          <w:sz w:val="19"/>
          <w:szCs w:val="19"/>
        </w:rPr>
      </w:pPr>
    </w:p>
    <w:p w14:paraId="113C941C" w14:textId="77777777" w:rsidR="00086021" w:rsidRDefault="00086021">
      <w:pPr>
        <w:spacing w:line="260" w:lineRule="exact"/>
        <w:rPr>
          <w:rFonts w:ascii="FF Mark Pro AF Book" w:hAnsi="FF Mark Pro AF Book"/>
          <w:sz w:val="19"/>
          <w:szCs w:val="19"/>
        </w:rPr>
      </w:pPr>
    </w:p>
    <w:p w14:paraId="5C0AB70F" w14:textId="77777777" w:rsidR="00086021" w:rsidRDefault="00086021">
      <w:pPr>
        <w:spacing w:line="260" w:lineRule="exact"/>
        <w:rPr>
          <w:rFonts w:ascii="FF Mark Pro AF Book" w:hAnsi="FF Mark Pro AF Book"/>
          <w:sz w:val="19"/>
          <w:szCs w:val="19"/>
        </w:rPr>
      </w:pPr>
    </w:p>
    <w:p w14:paraId="221D9FD4" w14:textId="77777777" w:rsidR="00086021" w:rsidRDefault="00086021">
      <w:pPr>
        <w:spacing w:line="260" w:lineRule="exact"/>
        <w:rPr>
          <w:rFonts w:ascii="FF Mark Pro AF Book" w:hAnsi="FF Mark Pro AF Book"/>
          <w:sz w:val="19"/>
          <w:szCs w:val="19"/>
        </w:rPr>
      </w:pPr>
    </w:p>
    <w:p w14:paraId="658958A3" w14:textId="77777777" w:rsidR="00086021" w:rsidRDefault="00086021">
      <w:pPr>
        <w:spacing w:line="260" w:lineRule="exact"/>
        <w:rPr>
          <w:rFonts w:ascii="FF Mark Pro AF Book" w:hAnsi="FF Mark Pro AF Book"/>
          <w:sz w:val="19"/>
          <w:szCs w:val="19"/>
        </w:rPr>
      </w:pPr>
    </w:p>
    <w:p w14:paraId="611A5023" w14:textId="77777777" w:rsidR="00086021" w:rsidRDefault="00086021">
      <w:pPr>
        <w:spacing w:line="260" w:lineRule="exact"/>
        <w:rPr>
          <w:rFonts w:ascii="FF Mark Pro AF Book" w:hAnsi="FF Mark Pro AF Book"/>
          <w:sz w:val="19"/>
          <w:szCs w:val="19"/>
        </w:rPr>
      </w:pPr>
    </w:p>
    <w:p w14:paraId="49813045" w14:textId="77777777" w:rsidR="00086021" w:rsidRDefault="00086021">
      <w:pPr>
        <w:spacing w:line="260" w:lineRule="exact"/>
        <w:rPr>
          <w:rFonts w:ascii="FF Mark Pro AF Book" w:hAnsi="FF Mark Pro AF Book"/>
          <w:sz w:val="19"/>
          <w:szCs w:val="19"/>
        </w:rPr>
      </w:pPr>
    </w:p>
    <w:p w14:paraId="7C25B3EF" w14:textId="77777777" w:rsidR="00086021" w:rsidRDefault="00086021">
      <w:pPr>
        <w:rPr>
          <w:rFonts w:eastAsia="Yu Gothic Light"/>
          <w:b/>
          <w:bCs/>
          <w:color w:val="F42400"/>
          <w:sz w:val="52"/>
          <w:szCs w:val="32"/>
        </w:rPr>
        <w:sectPr w:rsidR="00086021" w:rsidSect="00C80431">
          <w:headerReference w:type="default" r:id="rId12"/>
          <w:footerReference w:type="first" r:id="rId13"/>
          <w:pgSz w:w="11909" w:h="16834"/>
          <w:pgMar w:top="2938" w:right="1701" w:bottom="3276" w:left="1701" w:header="0" w:footer="1417" w:gutter="0"/>
          <w:pgNumType w:start="1"/>
          <w:cols w:space="720"/>
          <w:formProt w:val="0"/>
          <w:titlePg/>
          <w:docGrid w:linePitch="360"/>
        </w:sectPr>
      </w:pPr>
    </w:p>
    <w:p w14:paraId="4D74D51B" w14:textId="77777777" w:rsidR="00086021" w:rsidRDefault="009E19AB">
      <w:pPr>
        <w:pStyle w:val="Heading2"/>
      </w:pPr>
      <w:r>
        <w:lastRenderedPageBreak/>
        <w:t>Table of Contents</w:t>
      </w:r>
    </w:p>
    <w:p w14:paraId="16203B43" w14:textId="77777777" w:rsidR="00086021" w:rsidRDefault="00086021"/>
    <w:p w14:paraId="6D8E33A2" w14:textId="77777777" w:rsidR="00086021" w:rsidRDefault="00086021">
      <w:pPr>
        <w:pStyle w:val="TOC1"/>
      </w:pPr>
    </w:p>
    <w:p w14:paraId="035FB3D5" w14:textId="77777777" w:rsidR="00086021" w:rsidRDefault="00B81FD0">
      <w:pPr>
        <w:pStyle w:val="TOC1"/>
      </w:pPr>
      <w:hyperlink w:anchor="_Toc56997927">
        <w:r w:rsidR="009E19AB">
          <w:rPr>
            <w:rStyle w:val="IndexLink"/>
            <w:rFonts w:eastAsia="Franklin Gothic" w:cs="Franklin Gothic"/>
          </w:rPr>
          <w:t>Abbreviations</w:t>
        </w:r>
      </w:hyperlink>
      <w:r w:rsidR="009E19AB">
        <w:tab/>
        <w:t>3</w:t>
      </w:r>
    </w:p>
    <w:p w14:paraId="0982AE1A" w14:textId="77777777" w:rsidR="00086021" w:rsidRDefault="009E19AB">
      <w:pPr>
        <w:pStyle w:val="TOC1"/>
      </w:pPr>
      <w:r>
        <w:t>EXECUTIVE SUMMARY</w:t>
      </w:r>
      <w:r>
        <w:rPr>
          <w:lang w:val="nl-NL"/>
        </w:rPr>
        <w:tab/>
      </w:r>
      <w:r>
        <w:t>4</w:t>
      </w:r>
    </w:p>
    <w:p w14:paraId="755DC600" w14:textId="07418D3B" w:rsidR="00086021" w:rsidRDefault="009E19AB">
      <w:pPr>
        <w:pStyle w:val="TOC1"/>
      </w:pPr>
      <w:r>
        <w:t>1. Introduction</w:t>
      </w:r>
      <w:r>
        <w:rPr>
          <w:lang w:val="nl-NL"/>
        </w:rPr>
        <w:tab/>
      </w:r>
      <w:r w:rsidR="00BE546C">
        <w:t>6</w:t>
      </w:r>
    </w:p>
    <w:p w14:paraId="2981F4CC" w14:textId="2BE518E3" w:rsidR="00086021" w:rsidRDefault="009E19AB">
      <w:pPr>
        <w:pStyle w:val="TOC2"/>
      </w:pPr>
      <w:r>
        <w:rPr>
          <w:rFonts w:eastAsia="Franklin Gothic" w:cs="Franklin Gothic"/>
          <w:bCs/>
          <w:sz w:val="20"/>
          <w:szCs w:val="20"/>
        </w:rPr>
        <w:t xml:space="preserve">1.1 </w:t>
      </w:r>
      <w:hyperlink w:anchor="_Toc56997930">
        <w:r>
          <w:rPr>
            <w:rStyle w:val="IndexLink"/>
            <w:rFonts w:eastAsia="Franklin Gothic" w:cs="Franklin Gothic"/>
            <w:bCs/>
            <w:sz w:val="20"/>
            <w:szCs w:val="20"/>
          </w:rPr>
          <w:t>Background</w:t>
        </w:r>
      </w:hyperlink>
      <w:r>
        <w:rPr>
          <w:sz w:val="20"/>
          <w:szCs w:val="20"/>
        </w:rPr>
        <w:tab/>
      </w:r>
      <w:r w:rsidR="00BE546C">
        <w:rPr>
          <w:sz w:val="20"/>
          <w:szCs w:val="20"/>
        </w:rPr>
        <w:t>6</w:t>
      </w:r>
    </w:p>
    <w:p w14:paraId="79990741" w14:textId="6F3B3C12" w:rsidR="00086021" w:rsidRDefault="009E19AB">
      <w:pPr>
        <w:pStyle w:val="TOC2"/>
        <w:rPr>
          <w:sz w:val="20"/>
          <w:szCs w:val="20"/>
        </w:rPr>
      </w:pPr>
      <w:r>
        <w:rPr>
          <w:rFonts w:eastAsia="Franklin Gothic" w:cs="Franklin Gothic"/>
          <w:bCs/>
          <w:sz w:val="20"/>
          <w:szCs w:val="20"/>
        </w:rPr>
        <w:t xml:space="preserve">1.2 </w:t>
      </w:r>
      <w:hyperlink w:anchor="_Toc56997931">
        <w:r>
          <w:rPr>
            <w:rStyle w:val="IndexLink"/>
            <w:rFonts w:eastAsia="Franklin Gothic" w:cs="Franklin Gothic"/>
            <w:bCs/>
            <w:sz w:val="20"/>
            <w:szCs w:val="20"/>
          </w:rPr>
          <w:t>The Health System in Kenya</w:t>
        </w:r>
      </w:hyperlink>
      <w:r>
        <w:rPr>
          <w:sz w:val="20"/>
          <w:szCs w:val="20"/>
        </w:rPr>
        <w:tab/>
      </w:r>
      <w:r w:rsidR="00BE546C">
        <w:rPr>
          <w:sz w:val="20"/>
          <w:szCs w:val="20"/>
        </w:rPr>
        <w:t>7</w:t>
      </w:r>
    </w:p>
    <w:p w14:paraId="0B558A43" w14:textId="77777777" w:rsidR="00C80431" w:rsidRPr="00C80431" w:rsidRDefault="00C80431" w:rsidP="00C80431"/>
    <w:p w14:paraId="7EB83DF3" w14:textId="150F1F20" w:rsidR="00086021" w:rsidRDefault="009E19AB">
      <w:pPr>
        <w:pStyle w:val="TOC1"/>
      </w:pPr>
      <w:r>
        <w:rPr>
          <w:rFonts w:eastAsia="Franklin Gothic" w:cs="Franklin Gothic"/>
        </w:rPr>
        <w:t xml:space="preserve">2. </w:t>
      </w:r>
      <w:hyperlink w:anchor="_Toc56997932">
        <w:r>
          <w:rPr>
            <w:rStyle w:val="IndexLink"/>
            <w:rFonts w:eastAsia="Franklin Gothic" w:cs="Franklin Gothic"/>
          </w:rPr>
          <w:t>Methodology</w:t>
        </w:r>
      </w:hyperlink>
      <w:r>
        <w:tab/>
      </w:r>
      <w:r w:rsidR="00BE546C">
        <w:t>8</w:t>
      </w:r>
    </w:p>
    <w:p w14:paraId="0153A5AC" w14:textId="77777777" w:rsidR="00C80431" w:rsidRPr="00C80431" w:rsidRDefault="00C80431" w:rsidP="00C80431"/>
    <w:p w14:paraId="7D2D7E7F" w14:textId="6BA5E103" w:rsidR="00086021" w:rsidRDefault="009E19AB">
      <w:pPr>
        <w:pStyle w:val="TOC1"/>
      </w:pPr>
      <w:r>
        <w:rPr>
          <w:rFonts w:eastAsia="Franklin Gothic" w:cs="Franklin Gothic"/>
        </w:rPr>
        <w:t xml:space="preserve">3. </w:t>
      </w:r>
      <w:hyperlink w:anchor="_Toc56997933">
        <w:r>
          <w:rPr>
            <w:rStyle w:val="IndexLink"/>
            <w:rFonts w:eastAsia="Franklin Gothic" w:cs="Franklin Gothic"/>
          </w:rPr>
          <w:t>Findings</w:t>
        </w:r>
      </w:hyperlink>
      <w:r>
        <w:tab/>
        <w:t>9</w:t>
      </w:r>
    </w:p>
    <w:p w14:paraId="55B62487" w14:textId="77777777" w:rsidR="00C80431" w:rsidRPr="00C80431" w:rsidRDefault="00C80431" w:rsidP="00C80431"/>
    <w:p w14:paraId="555ACBA4" w14:textId="77777777" w:rsidR="00086021" w:rsidRDefault="009E19AB">
      <w:pPr>
        <w:pStyle w:val="TOC2"/>
        <w:rPr>
          <w:sz w:val="20"/>
          <w:szCs w:val="20"/>
        </w:rPr>
      </w:pPr>
      <w:r>
        <w:rPr>
          <w:rFonts w:eastAsia="Franklin Gothic" w:cs="Franklin Gothic"/>
          <w:sz w:val="20"/>
          <w:szCs w:val="20"/>
        </w:rPr>
        <w:t>3.1</w:t>
      </w:r>
      <w:r>
        <w:rPr>
          <w:rFonts w:eastAsia="Franklin Gothic" w:cs="Franklin Gothic"/>
          <w:color w:val="C9211E"/>
          <w:sz w:val="20"/>
          <w:szCs w:val="20"/>
        </w:rPr>
        <w:t xml:space="preserve"> </w:t>
      </w:r>
      <w:r>
        <w:rPr>
          <w:rFonts w:eastAsia="Franklin Gothic" w:cs="Franklin Gothic"/>
          <w:sz w:val="20"/>
          <w:szCs w:val="20"/>
        </w:rPr>
        <w:t>Macro-Fiscal Characteristics of Kenya</w:t>
      </w:r>
      <w:r>
        <w:rPr>
          <w:sz w:val="20"/>
          <w:szCs w:val="20"/>
        </w:rPr>
        <w:tab/>
        <w:t>9</w:t>
      </w:r>
    </w:p>
    <w:p w14:paraId="17433603" w14:textId="77777777" w:rsidR="00086021" w:rsidRDefault="009E19AB">
      <w:pPr>
        <w:pStyle w:val="TOC2"/>
        <w:rPr>
          <w:sz w:val="20"/>
          <w:szCs w:val="20"/>
        </w:rPr>
      </w:pPr>
      <w:r>
        <w:rPr>
          <w:rFonts w:eastAsia="Franklin Gothic" w:cs="Franklin Gothic"/>
          <w:sz w:val="20"/>
          <w:szCs w:val="20"/>
        </w:rPr>
        <w:t>3.2 Health Financing in Kenya</w:t>
      </w:r>
      <w:r>
        <w:rPr>
          <w:rFonts w:eastAsia="Franklin Gothic" w:cs="Franklin Gothic"/>
          <w:sz w:val="20"/>
          <w:szCs w:val="20"/>
        </w:rPr>
        <w:tab/>
        <w:t>11</w:t>
      </w:r>
    </w:p>
    <w:p w14:paraId="087BC5FE" w14:textId="77777777" w:rsidR="00086021" w:rsidRDefault="009E19AB">
      <w:pPr>
        <w:pStyle w:val="TOC3"/>
        <w:tabs>
          <w:tab w:val="right" w:leader="dot" w:pos="8488"/>
        </w:tabs>
      </w:pPr>
      <w:r>
        <w:rPr>
          <w:sz w:val="20"/>
          <w:szCs w:val="20"/>
        </w:rPr>
        <w:t>3.2.1. Revenue Raising in Kenya</w:t>
      </w:r>
      <w:r>
        <w:rPr>
          <w:sz w:val="20"/>
          <w:szCs w:val="20"/>
        </w:rPr>
        <w:tab/>
        <w:t>11</w:t>
      </w:r>
    </w:p>
    <w:p w14:paraId="0F675DE5" w14:textId="77777777" w:rsidR="00086021" w:rsidRDefault="009E19AB">
      <w:pPr>
        <w:pStyle w:val="TOC3"/>
        <w:tabs>
          <w:tab w:val="right" w:leader="dot" w:pos="8488"/>
        </w:tabs>
      </w:pPr>
      <w:r>
        <w:rPr>
          <w:sz w:val="20"/>
          <w:szCs w:val="20"/>
          <w:lang w:val="nl-NL"/>
        </w:rPr>
        <w:t>3.2.2. Revenue Allocation</w:t>
      </w:r>
      <w:r>
        <w:rPr>
          <w:sz w:val="20"/>
          <w:szCs w:val="20"/>
        </w:rPr>
        <w:tab/>
        <w:t>15</w:t>
      </w:r>
    </w:p>
    <w:p w14:paraId="0B89CBA6" w14:textId="77777777" w:rsidR="00086021" w:rsidRDefault="009E19AB">
      <w:pPr>
        <w:pStyle w:val="TOC3"/>
        <w:tabs>
          <w:tab w:val="right" w:leader="dot" w:pos="8488"/>
        </w:tabs>
      </w:pPr>
      <w:r>
        <w:rPr>
          <w:sz w:val="20"/>
          <w:szCs w:val="20"/>
        </w:rPr>
        <w:t>3.2.3. Pooling Mechanisms in Kenya</w:t>
      </w:r>
      <w:r>
        <w:rPr>
          <w:sz w:val="20"/>
          <w:szCs w:val="20"/>
        </w:rPr>
        <w:tab/>
        <w:t>26</w:t>
      </w:r>
    </w:p>
    <w:p w14:paraId="40564E49" w14:textId="77777777" w:rsidR="00086021" w:rsidRDefault="009E19AB">
      <w:pPr>
        <w:pStyle w:val="TOC3"/>
        <w:tabs>
          <w:tab w:val="right" w:leader="dot" w:pos="8488"/>
        </w:tabs>
      </w:pPr>
      <w:r>
        <w:rPr>
          <w:sz w:val="20"/>
          <w:szCs w:val="20"/>
          <w:lang w:val="nl-NL"/>
        </w:rPr>
        <w:t>3.2.4. Purchasing Arrangements in Kenya</w:t>
      </w:r>
      <w:r>
        <w:rPr>
          <w:sz w:val="20"/>
          <w:szCs w:val="20"/>
        </w:rPr>
        <w:tab/>
        <w:t>29</w:t>
      </w:r>
    </w:p>
    <w:p w14:paraId="4A061C16" w14:textId="77777777" w:rsidR="00086021" w:rsidRDefault="009E19AB">
      <w:pPr>
        <w:pStyle w:val="TOC3"/>
        <w:tabs>
          <w:tab w:val="right" w:leader="dot" w:pos="8488"/>
        </w:tabs>
      </w:pPr>
      <w:r>
        <w:rPr>
          <w:sz w:val="20"/>
          <w:szCs w:val="20"/>
        </w:rPr>
        <w:t>3.2.5. Equity Perspectives</w:t>
      </w:r>
      <w:r>
        <w:rPr>
          <w:sz w:val="20"/>
          <w:szCs w:val="20"/>
        </w:rPr>
        <w:tab/>
        <w:t>31</w:t>
      </w:r>
    </w:p>
    <w:p w14:paraId="67706277" w14:textId="0702705E" w:rsidR="00086021" w:rsidRDefault="009E19AB">
      <w:pPr>
        <w:pStyle w:val="TOC3"/>
        <w:tabs>
          <w:tab w:val="right" w:leader="dot" w:pos="8488"/>
        </w:tabs>
        <w:rPr>
          <w:sz w:val="20"/>
          <w:szCs w:val="20"/>
        </w:rPr>
      </w:pPr>
      <w:r>
        <w:rPr>
          <w:sz w:val="20"/>
          <w:szCs w:val="20"/>
          <w:lang w:val="nl-NL"/>
        </w:rPr>
        <w:t>3.2.6. Accountability</w:t>
      </w:r>
      <w:r>
        <w:rPr>
          <w:sz w:val="20"/>
          <w:szCs w:val="20"/>
        </w:rPr>
        <w:tab/>
        <w:t>36</w:t>
      </w:r>
    </w:p>
    <w:p w14:paraId="039D8248" w14:textId="77777777" w:rsidR="00C80431" w:rsidRPr="00C80431" w:rsidRDefault="00C80431" w:rsidP="00C80431"/>
    <w:p w14:paraId="5D7E4D57" w14:textId="08DFB0A4" w:rsidR="00086021" w:rsidRDefault="009E19AB">
      <w:pPr>
        <w:pStyle w:val="TOC1"/>
        <w:rPr>
          <w:rFonts w:eastAsia="Franklin Gothic" w:cs="Franklin Gothic"/>
        </w:rPr>
      </w:pPr>
      <w:r>
        <w:t>4. Civil Society Landscape Analysis in Kenya</w:t>
      </w:r>
      <w:r>
        <w:rPr>
          <w:rFonts w:eastAsia="Franklin Gothic" w:cs="Franklin Gothic"/>
        </w:rPr>
        <w:tab/>
        <w:t>4</w:t>
      </w:r>
      <w:r w:rsidR="00BE546C">
        <w:rPr>
          <w:rFonts w:eastAsia="Franklin Gothic" w:cs="Franklin Gothic"/>
        </w:rPr>
        <w:t>1</w:t>
      </w:r>
    </w:p>
    <w:p w14:paraId="14547468" w14:textId="77777777" w:rsidR="00C80431" w:rsidRPr="00C80431" w:rsidRDefault="00C80431" w:rsidP="00C80431"/>
    <w:p w14:paraId="5169E1D7" w14:textId="6C0B4D63" w:rsidR="00086021" w:rsidRDefault="009E19AB">
      <w:pPr>
        <w:pStyle w:val="TOC1"/>
        <w:rPr>
          <w:rFonts w:eastAsia="Franklin Gothic" w:cs="Franklin Gothic"/>
        </w:rPr>
      </w:pPr>
      <w:r>
        <w:t>5. Recommendations</w:t>
      </w:r>
      <w:r>
        <w:rPr>
          <w:rFonts w:eastAsia="Franklin Gothic" w:cs="Franklin Gothic"/>
        </w:rPr>
        <w:tab/>
        <w:t>4</w:t>
      </w:r>
      <w:r w:rsidR="00BE546C">
        <w:rPr>
          <w:rFonts w:eastAsia="Franklin Gothic" w:cs="Franklin Gothic"/>
        </w:rPr>
        <w:t>5</w:t>
      </w:r>
    </w:p>
    <w:p w14:paraId="0E68F1E0" w14:textId="77777777" w:rsidR="00C80431" w:rsidRPr="00C80431" w:rsidRDefault="00C80431" w:rsidP="00C80431"/>
    <w:p w14:paraId="6609C9C6" w14:textId="31CCC310" w:rsidR="00086021" w:rsidRDefault="009E19AB">
      <w:pPr>
        <w:pStyle w:val="TOC1"/>
        <w:rPr>
          <w:rFonts w:eastAsia="Franklin Gothic" w:cs="Franklin Gothic"/>
        </w:rPr>
      </w:pPr>
      <w:r>
        <w:rPr>
          <w:rFonts w:eastAsia="Franklin Gothic" w:cs="Franklin Gothic"/>
        </w:rPr>
        <w:t xml:space="preserve">6. </w:t>
      </w:r>
      <w:hyperlink w:anchor="_Toc56997927">
        <w:r>
          <w:rPr>
            <w:rStyle w:val="IndexLink"/>
            <w:rFonts w:eastAsia="Franklin Gothic" w:cs="Franklin Gothic"/>
          </w:rPr>
          <w:t>C</w:t>
        </w:r>
      </w:hyperlink>
      <w:r>
        <w:rPr>
          <w:rFonts w:eastAsia="Franklin Gothic" w:cs="Franklin Gothic"/>
        </w:rPr>
        <w:t>onclusion</w:t>
      </w:r>
      <w:r>
        <w:rPr>
          <w:rFonts w:eastAsia="Franklin Gothic" w:cs="Franklin Gothic"/>
        </w:rPr>
        <w:tab/>
        <w:t>4</w:t>
      </w:r>
      <w:r w:rsidR="00BE546C">
        <w:rPr>
          <w:rFonts w:eastAsia="Franklin Gothic" w:cs="Franklin Gothic"/>
        </w:rPr>
        <w:t>7</w:t>
      </w:r>
    </w:p>
    <w:p w14:paraId="71669560" w14:textId="77777777" w:rsidR="00C80431" w:rsidRPr="00C80431" w:rsidRDefault="00C80431" w:rsidP="00C80431"/>
    <w:p w14:paraId="208E9483" w14:textId="72649D44" w:rsidR="00086021" w:rsidRDefault="00B81FD0">
      <w:pPr>
        <w:pStyle w:val="TOC1"/>
        <w:rPr>
          <w:rFonts w:eastAsia="Franklin Gothic" w:cs="Franklin Gothic"/>
        </w:rPr>
      </w:pPr>
      <w:hyperlink w:anchor="_Toc56997929">
        <w:r w:rsidR="009E19AB">
          <w:rPr>
            <w:rStyle w:val="IndexLink"/>
            <w:rFonts w:eastAsia="Franklin Gothic" w:cs="Franklin Gothic"/>
          </w:rPr>
          <w:t>R</w:t>
        </w:r>
      </w:hyperlink>
      <w:r w:rsidR="009E19AB">
        <w:rPr>
          <w:rFonts w:eastAsia="Franklin Gothic" w:cs="Franklin Gothic"/>
        </w:rPr>
        <w:t>eferences</w:t>
      </w:r>
      <w:r w:rsidR="009E19AB">
        <w:rPr>
          <w:rFonts w:eastAsia="Franklin Gothic" w:cs="Franklin Gothic"/>
        </w:rPr>
        <w:tab/>
        <w:t>4</w:t>
      </w:r>
      <w:r w:rsidR="00BE546C">
        <w:rPr>
          <w:rFonts w:eastAsia="Franklin Gothic" w:cs="Franklin Gothic"/>
        </w:rPr>
        <w:t>8</w:t>
      </w:r>
    </w:p>
    <w:p w14:paraId="72ABA2C1" w14:textId="77777777" w:rsidR="00C80431" w:rsidRPr="00C80431" w:rsidRDefault="00C80431" w:rsidP="00C80431"/>
    <w:p w14:paraId="18E4286E" w14:textId="18F02FB5" w:rsidR="00086021" w:rsidRDefault="00B81FD0">
      <w:pPr>
        <w:pStyle w:val="TOC1"/>
        <w:rPr>
          <w:rFonts w:eastAsia="Franklin Gothic" w:cs="Franklin Gothic"/>
        </w:rPr>
      </w:pPr>
      <w:hyperlink w:anchor="_Toc56997930">
        <w:r w:rsidR="009E19AB">
          <w:rPr>
            <w:rStyle w:val="IndexLink"/>
            <w:rFonts w:eastAsia="Franklin Gothic" w:cs="Franklin Gothic"/>
          </w:rPr>
          <w:t>A</w:t>
        </w:r>
      </w:hyperlink>
      <w:r w:rsidR="009E19AB">
        <w:rPr>
          <w:rFonts w:eastAsia="Franklin Gothic" w:cs="Franklin Gothic"/>
        </w:rPr>
        <w:t>nnexes</w:t>
      </w:r>
      <w:r w:rsidR="009E19AB">
        <w:rPr>
          <w:rFonts w:eastAsia="Franklin Gothic" w:cs="Franklin Gothic"/>
        </w:rPr>
        <w:tab/>
      </w:r>
      <w:r w:rsidR="00621EAD">
        <w:rPr>
          <w:rFonts w:eastAsia="Franklin Gothic" w:cs="Franklin Gothic"/>
        </w:rPr>
        <w:t>51</w:t>
      </w:r>
    </w:p>
    <w:p w14:paraId="4F02CB3F" w14:textId="77777777" w:rsidR="00C80431" w:rsidRPr="00C80431" w:rsidRDefault="00C80431" w:rsidP="00C80431"/>
    <w:p w14:paraId="03EFB857" w14:textId="415EB782" w:rsidR="00086021" w:rsidRDefault="009E19AB">
      <w:pPr>
        <w:pStyle w:val="TOC1"/>
      </w:pPr>
      <w:r>
        <w:t>Acknowledgements</w:t>
      </w:r>
      <w:r>
        <w:rPr>
          <w:rFonts w:eastAsia="Franklin Gothic" w:cs="Franklin Gothic"/>
        </w:rPr>
        <w:tab/>
      </w:r>
      <w:r w:rsidR="00BE546C">
        <w:rPr>
          <w:rFonts w:eastAsia="Franklin Gothic" w:cs="Franklin Gothic"/>
        </w:rPr>
        <w:t>61</w:t>
      </w:r>
    </w:p>
    <w:p w14:paraId="1E7F93CF" w14:textId="77777777" w:rsidR="00086021" w:rsidRDefault="00086021"/>
    <w:p w14:paraId="1F563A80" w14:textId="77777777" w:rsidR="00086021" w:rsidRDefault="00086021"/>
    <w:p w14:paraId="4A0F1338" w14:textId="77777777" w:rsidR="00086021" w:rsidRDefault="00086021"/>
    <w:p w14:paraId="3F613990" w14:textId="77777777" w:rsidR="00086021" w:rsidRDefault="00086021"/>
    <w:p w14:paraId="0FEA2A93" w14:textId="77777777" w:rsidR="00086021" w:rsidRDefault="00086021"/>
    <w:p w14:paraId="256FF40A" w14:textId="77777777" w:rsidR="00086021" w:rsidRDefault="00086021"/>
    <w:p w14:paraId="52F1E4AB" w14:textId="77777777" w:rsidR="00086021" w:rsidRDefault="00086021"/>
    <w:p w14:paraId="24DE6770" w14:textId="77777777" w:rsidR="00086021" w:rsidRDefault="00086021"/>
    <w:p w14:paraId="0332FC13" w14:textId="77777777" w:rsidR="00086021" w:rsidRDefault="00086021"/>
    <w:p w14:paraId="10176490" w14:textId="77777777" w:rsidR="00086021" w:rsidRDefault="00086021"/>
    <w:p w14:paraId="6C79AC1F" w14:textId="77777777" w:rsidR="00086021" w:rsidRDefault="00086021"/>
    <w:p w14:paraId="12CD09DD" w14:textId="77777777" w:rsidR="00086021" w:rsidRDefault="009E19AB">
      <w:r>
        <w:br w:type="page"/>
      </w:r>
    </w:p>
    <w:p w14:paraId="5F002CA3" w14:textId="77777777" w:rsidR="00086021" w:rsidRDefault="00086021"/>
    <w:p w14:paraId="24BD62C0" w14:textId="77777777" w:rsidR="00086021" w:rsidRDefault="00086021"/>
    <w:p w14:paraId="10822B0E" w14:textId="77777777" w:rsidR="00086021" w:rsidRDefault="009E19AB">
      <w:pPr>
        <w:pStyle w:val="Heading2"/>
      </w:pPr>
      <w:r>
        <w:t>Abbreviations</w:t>
      </w:r>
    </w:p>
    <w:p w14:paraId="6CBA809D" w14:textId="77777777" w:rsidR="00086021" w:rsidRDefault="00086021"/>
    <w:tbl>
      <w:tblPr>
        <w:tblW w:w="9060" w:type="dxa"/>
        <w:tblInd w:w="108" w:type="dxa"/>
        <w:tblLook w:val="04A0" w:firstRow="1" w:lastRow="0" w:firstColumn="1" w:lastColumn="0" w:noHBand="0" w:noVBand="1"/>
      </w:tblPr>
      <w:tblGrid>
        <w:gridCol w:w="1985"/>
        <w:gridCol w:w="7075"/>
      </w:tblGrid>
      <w:tr w:rsidR="00086021" w14:paraId="2050BE43" w14:textId="77777777">
        <w:tc>
          <w:tcPr>
            <w:tcW w:w="1985" w:type="dxa"/>
          </w:tcPr>
          <w:p w14:paraId="49E500A5" w14:textId="77777777" w:rsidR="00086021" w:rsidRDefault="009E19AB">
            <w:pPr>
              <w:pStyle w:val="TableContents"/>
            </w:pPr>
            <w:r>
              <w:t>ADP</w:t>
            </w:r>
          </w:p>
        </w:tc>
        <w:tc>
          <w:tcPr>
            <w:tcW w:w="7075" w:type="dxa"/>
          </w:tcPr>
          <w:p w14:paraId="71568C49" w14:textId="77777777" w:rsidR="00086021" w:rsidRDefault="009E19AB">
            <w:pPr>
              <w:pStyle w:val="TableContents"/>
            </w:pPr>
            <w:r>
              <w:t>Annual Development Plan</w:t>
            </w:r>
          </w:p>
        </w:tc>
      </w:tr>
      <w:tr w:rsidR="00086021" w14:paraId="60311FDC" w14:textId="77777777">
        <w:tc>
          <w:tcPr>
            <w:tcW w:w="1985" w:type="dxa"/>
          </w:tcPr>
          <w:p w14:paraId="549FDFFD" w14:textId="77777777" w:rsidR="00086021" w:rsidRDefault="009E19AB">
            <w:pPr>
              <w:pStyle w:val="TableContents"/>
            </w:pPr>
            <w:r>
              <w:t>AGYW</w:t>
            </w:r>
          </w:p>
        </w:tc>
        <w:tc>
          <w:tcPr>
            <w:tcW w:w="7075" w:type="dxa"/>
          </w:tcPr>
          <w:p w14:paraId="1460C9F9" w14:textId="77777777" w:rsidR="00086021" w:rsidRDefault="009E19AB">
            <w:pPr>
              <w:pStyle w:val="TableContents"/>
            </w:pPr>
            <w:r>
              <w:t>Adolescent Girls and Young Women</w:t>
            </w:r>
          </w:p>
        </w:tc>
      </w:tr>
      <w:tr w:rsidR="00086021" w14:paraId="0851FE51" w14:textId="77777777">
        <w:tc>
          <w:tcPr>
            <w:tcW w:w="1985" w:type="dxa"/>
          </w:tcPr>
          <w:p w14:paraId="57A022EC" w14:textId="77777777" w:rsidR="00086021" w:rsidRDefault="009E19AB">
            <w:pPr>
              <w:pStyle w:val="TableContents"/>
            </w:pPr>
            <w:r>
              <w:t>AIDS</w:t>
            </w:r>
          </w:p>
        </w:tc>
        <w:tc>
          <w:tcPr>
            <w:tcW w:w="7075" w:type="dxa"/>
          </w:tcPr>
          <w:p w14:paraId="35689612" w14:textId="77777777" w:rsidR="00086021" w:rsidRDefault="009E19AB">
            <w:pPr>
              <w:pStyle w:val="TableContents"/>
            </w:pPr>
            <w:r>
              <w:t>Acquired Immuno-Deficiency Syndrome</w:t>
            </w:r>
          </w:p>
        </w:tc>
      </w:tr>
      <w:tr w:rsidR="00086021" w14:paraId="1ED7C6DA" w14:textId="77777777">
        <w:tc>
          <w:tcPr>
            <w:tcW w:w="1985" w:type="dxa"/>
          </w:tcPr>
          <w:p w14:paraId="4C9631BB" w14:textId="77777777" w:rsidR="00086021" w:rsidRDefault="009E19AB">
            <w:pPr>
              <w:pStyle w:val="TableContents"/>
            </w:pPr>
            <w:r>
              <w:t>APR</w:t>
            </w:r>
          </w:p>
        </w:tc>
        <w:tc>
          <w:tcPr>
            <w:tcW w:w="7075" w:type="dxa"/>
          </w:tcPr>
          <w:p w14:paraId="38FEB7A3" w14:textId="77777777" w:rsidR="00086021" w:rsidRDefault="009E19AB">
            <w:pPr>
              <w:pStyle w:val="TableContents"/>
            </w:pPr>
            <w:r>
              <w:t>Annual Performance Review</w:t>
            </w:r>
          </w:p>
        </w:tc>
      </w:tr>
      <w:tr w:rsidR="00086021" w14:paraId="6C9D02D9" w14:textId="77777777">
        <w:tc>
          <w:tcPr>
            <w:tcW w:w="1985" w:type="dxa"/>
          </w:tcPr>
          <w:p w14:paraId="56F45C7B" w14:textId="77777777" w:rsidR="00086021" w:rsidRDefault="009E19AB">
            <w:pPr>
              <w:pStyle w:val="TableContents"/>
            </w:pPr>
            <w:r>
              <w:t>CBROP</w:t>
            </w:r>
          </w:p>
        </w:tc>
        <w:tc>
          <w:tcPr>
            <w:tcW w:w="7075" w:type="dxa"/>
          </w:tcPr>
          <w:p w14:paraId="778CB8DE" w14:textId="77777777" w:rsidR="00086021" w:rsidRDefault="009E19AB">
            <w:pPr>
              <w:pStyle w:val="TableContents"/>
            </w:pPr>
            <w:r>
              <w:t>County Budget Review Outlook Paper</w:t>
            </w:r>
          </w:p>
        </w:tc>
      </w:tr>
      <w:tr w:rsidR="00086021" w14:paraId="3B09455F" w14:textId="77777777">
        <w:tc>
          <w:tcPr>
            <w:tcW w:w="1985" w:type="dxa"/>
          </w:tcPr>
          <w:p w14:paraId="5E8335BE" w14:textId="77777777" w:rsidR="00086021" w:rsidRDefault="009E19AB">
            <w:pPr>
              <w:pStyle w:val="TableContents"/>
            </w:pPr>
            <w:r>
              <w:t>CDoH</w:t>
            </w:r>
          </w:p>
        </w:tc>
        <w:tc>
          <w:tcPr>
            <w:tcW w:w="7075" w:type="dxa"/>
          </w:tcPr>
          <w:p w14:paraId="6AB19E0D" w14:textId="77777777" w:rsidR="00086021" w:rsidRDefault="009E19AB">
            <w:pPr>
              <w:pStyle w:val="TableContents"/>
            </w:pPr>
            <w:r>
              <w:t>County Department of Health</w:t>
            </w:r>
          </w:p>
        </w:tc>
      </w:tr>
      <w:tr w:rsidR="00086021" w14:paraId="555E5B4E" w14:textId="77777777">
        <w:tc>
          <w:tcPr>
            <w:tcW w:w="1985" w:type="dxa"/>
          </w:tcPr>
          <w:p w14:paraId="6DB70F85" w14:textId="77777777" w:rsidR="00086021" w:rsidRDefault="009E19AB">
            <w:pPr>
              <w:pStyle w:val="TableContents"/>
            </w:pPr>
            <w:r>
              <w:t>CECM</w:t>
            </w:r>
          </w:p>
        </w:tc>
        <w:tc>
          <w:tcPr>
            <w:tcW w:w="7075" w:type="dxa"/>
          </w:tcPr>
          <w:p w14:paraId="22DB627F" w14:textId="77777777" w:rsidR="00086021" w:rsidRDefault="009E19AB">
            <w:pPr>
              <w:pStyle w:val="TableContents"/>
            </w:pPr>
            <w:r>
              <w:t>County Executive Member</w:t>
            </w:r>
          </w:p>
        </w:tc>
      </w:tr>
      <w:tr w:rsidR="00086021" w14:paraId="1AF65F14" w14:textId="77777777">
        <w:tc>
          <w:tcPr>
            <w:tcW w:w="1985" w:type="dxa"/>
          </w:tcPr>
          <w:p w14:paraId="1FE1AFE1" w14:textId="77777777" w:rsidR="00086021" w:rsidRDefault="009E19AB">
            <w:pPr>
              <w:pStyle w:val="TableContents"/>
            </w:pPr>
            <w:r>
              <w:t>CFSP</w:t>
            </w:r>
          </w:p>
        </w:tc>
        <w:tc>
          <w:tcPr>
            <w:tcW w:w="7075" w:type="dxa"/>
          </w:tcPr>
          <w:p w14:paraId="30251DD6" w14:textId="77777777" w:rsidR="00086021" w:rsidRDefault="009E19AB">
            <w:pPr>
              <w:pStyle w:val="TableContents"/>
            </w:pPr>
            <w:r>
              <w:t>County Fiscal Strategy Paper</w:t>
            </w:r>
          </w:p>
        </w:tc>
      </w:tr>
      <w:tr w:rsidR="00086021" w14:paraId="48530077" w14:textId="77777777">
        <w:tc>
          <w:tcPr>
            <w:tcW w:w="1985" w:type="dxa"/>
          </w:tcPr>
          <w:p w14:paraId="78AA4EEA" w14:textId="77777777" w:rsidR="00086021" w:rsidRDefault="009E19AB">
            <w:pPr>
              <w:pStyle w:val="TableContents"/>
            </w:pPr>
            <w:r>
              <w:t>CRF</w:t>
            </w:r>
          </w:p>
        </w:tc>
        <w:tc>
          <w:tcPr>
            <w:tcW w:w="7075" w:type="dxa"/>
          </w:tcPr>
          <w:p w14:paraId="38A2603E" w14:textId="77777777" w:rsidR="00086021" w:rsidRDefault="009E19AB">
            <w:pPr>
              <w:pStyle w:val="TableContents"/>
            </w:pPr>
            <w:r>
              <w:t>County Revenue Fund</w:t>
            </w:r>
          </w:p>
        </w:tc>
      </w:tr>
      <w:tr w:rsidR="00086021" w14:paraId="645BAEDF" w14:textId="77777777">
        <w:tc>
          <w:tcPr>
            <w:tcW w:w="1985" w:type="dxa"/>
          </w:tcPr>
          <w:p w14:paraId="3345BC2F" w14:textId="77777777" w:rsidR="00086021" w:rsidRDefault="009E19AB">
            <w:pPr>
              <w:pStyle w:val="TableContents"/>
            </w:pPr>
            <w:r>
              <w:t>CSO</w:t>
            </w:r>
          </w:p>
        </w:tc>
        <w:tc>
          <w:tcPr>
            <w:tcW w:w="7075" w:type="dxa"/>
          </w:tcPr>
          <w:p w14:paraId="15512095" w14:textId="77777777" w:rsidR="00086021" w:rsidRDefault="009E19AB">
            <w:pPr>
              <w:pStyle w:val="TableContents"/>
            </w:pPr>
            <w:r>
              <w:t>Civil Society Organization</w:t>
            </w:r>
          </w:p>
        </w:tc>
      </w:tr>
      <w:tr w:rsidR="00086021" w14:paraId="0F93FD4D" w14:textId="77777777">
        <w:tc>
          <w:tcPr>
            <w:tcW w:w="1985" w:type="dxa"/>
          </w:tcPr>
          <w:p w14:paraId="2C508A70" w14:textId="77777777" w:rsidR="00086021" w:rsidRDefault="009E19AB">
            <w:pPr>
              <w:pStyle w:val="TableContents"/>
            </w:pPr>
            <w:r>
              <w:t>DoH</w:t>
            </w:r>
          </w:p>
        </w:tc>
        <w:tc>
          <w:tcPr>
            <w:tcW w:w="7075" w:type="dxa"/>
          </w:tcPr>
          <w:p w14:paraId="28DBB3F8" w14:textId="77777777" w:rsidR="00086021" w:rsidRDefault="009E19AB">
            <w:pPr>
              <w:pStyle w:val="TableContents"/>
            </w:pPr>
            <w:r>
              <w:t>Director of Health</w:t>
            </w:r>
          </w:p>
        </w:tc>
      </w:tr>
      <w:tr w:rsidR="00086021" w14:paraId="2B58255E" w14:textId="77777777">
        <w:tc>
          <w:tcPr>
            <w:tcW w:w="1985" w:type="dxa"/>
          </w:tcPr>
          <w:p w14:paraId="3B691C09" w14:textId="77777777" w:rsidR="00086021" w:rsidRDefault="009E19AB">
            <w:pPr>
              <w:pStyle w:val="TableContents"/>
            </w:pPr>
            <w:r>
              <w:t>DREAMS</w:t>
            </w:r>
          </w:p>
        </w:tc>
        <w:tc>
          <w:tcPr>
            <w:tcW w:w="7075" w:type="dxa"/>
          </w:tcPr>
          <w:p w14:paraId="4A654D6D" w14:textId="77777777" w:rsidR="00086021" w:rsidRDefault="009E19AB">
            <w:pPr>
              <w:pStyle w:val="TableContents"/>
            </w:pPr>
            <w:r>
              <w:t>Determined, Resilient, Empowered, AIDS-free, Mentored, and Safe</w:t>
            </w:r>
          </w:p>
        </w:tc>
      </w:tr>
      <w:tr w:rsidR="00086021" w14:paraId="1B94AD7A" w14:textId="77777777">
        <w:tc>
          <w:tcPr>
            <w:tcW w:w="1985" w:type="dxa"/>
          </w:tcPr>
          <w:p w14:paraId="6F9E47A9" w14:textId="77777777" w:rsidR="00086021" w:rsidRDefault="009E19AB">
            <w:pPr>
              <w:pStyle w:val="TableContents"/>
            </w:pPr>
            <w:r>
              <w:t>DRM</w:t>
            </w:r>
          </w:p>
        </w:tc>
        <w:tc>
          <w:tcPr>
            <w:tcW w:w="7075" w:type="dxa"/>
          </w:tcPr>
          <w:p w14:paraId="2630074C" w14:textId="1D45A7AD" w:rsidR="00086021" w:rsidRDefault="009E19AB">
            <w:pPr>
              <w:pStyle w:val="TableContents"/>
            </w:pPr>
            <w:r>
              <w:t xml:space="preserve">Domestic Resource </w:t>
            </w:r>
            <w:proofErr w:type="spellStart"/>
            <w:r w:rsidR="00C80431">
              <w:t>Mobilisation</w:t>
            </w:r>
            <w:proofErr w:type="spellEnd"/>
          </w:p>
        </w:tc>
      </w:tr>
      <w:tr w:rsidR="00086021" w14:paraId="142734DA" w14:textId="77777777">
        <w:tc>
          <w:tcPr>
            <w:tcW w:w="1985" w:type="dxa"/>
          </w:tcPr>
          <w:p w14:paraId="31CFE402" w14:textId="77777777" w:rsidR="00086021" w:rsidRDefault="009E19AB">
            <w:pPr>
              <w:pStyle w:val="TableContents"/>
            </w:pPr>
            <w:r>
              <w:t>EBP</w:t>
            </w:r>
          </w:p>
        </w:tc>
        <w:tc>
          <w:tcPr>
            <w:tcW w:w="7075" w:type="dxa"/>
          </w:tcPr>
          <w:p w14:paraId="0F6AED88" w14:textId="77777777" w:rsidR="00086021" w:rsidRDefault="009E19AB">
            <w:pPr>
              <w:pStyle w:val="TableContents"/>
            </w:pPr>
            <w:r>
              <w:t>Essential Benefits Package</w:t>
            </w:r>
          </w:p>
        </w:tc>
      </w:tr>
      <w:tr w:rsidR="00086021" w14:paraId="72C8D3DE" w14:textId="77777777">
        <w:tc>
          <w:tcPr>
            <w:tcW w:w="1985" w:type="dxa"/>
          </w:tcPr>
          <w:p w14:paraId="3F235CBF" w14:textId="77777777" w:rsidR="00086021" w:rsidRDefault="009E19AB">
            <w:pPr>
              <w:pStyle w:val="TableContents"/>
            </w:pPr>
            <w:r>
              <w:t>FFS</w:t>
            </w:r>
          </w:p>
        </w:tc>
        <w:tc>
          <w:tcPr>
            <w:tcW w:w="7075" w:type="dxa"/>
          </w:tcPr>
          <w:p w14:paraId="4AA9E527" w14:textId="77777777" w:rsidR="00086021" w:rsidRDefault="009E19AB">
            <w:pPr>
              <w:pStyle w:val="TableContents"/>
            </w:pPr>
            <w:r>
              <w:t>Fee for Service</w:t>
            </w:r>
          </w:p>
        </w:tc>
      </w:tr>
      <w:tr w:rsidR="00086021" w14:paraId="1DE1F1AF" w14:textId="77777777">
        <w:tc>
          <w:tcPr>
            <w:tcW w:w="1985" w:type="dxa"/>
          </w:tcPr>
          <w:p w14:paraId="1D74EF86" w14:textId="77777777" w:rsidR="00086021" w:rsidRDefault="009E19AB">
            <w:pPr>
              <w:pStyle w:val="TableContents"/>
            </w:pPr>
            <w:r>
              <w:t>FIF</w:t>
            </w:r>
          </w:p>
        </w:tc>
        <w:tc>
          <w:tcPr>
            <w:tcW w:w="7075" w:type="dxa"/>
          </w:tcPr>
          <w:p w14:paraId="2A15B588" w14:textId="77777777" w:rsidR="00086021" w:rsidRDefault="009E19AB">
            <w:pPr>
              <w:pStyle w:val="TableContents"/>
            </w:pPr>
            <w:r>
              <w:t>Facility Improvement Fund</w:t>
            </w:r>
          </w:p>
        </w:tc>
      </w:tr>
      <w:tr w:rsidR="00086021" w14:paraId="038D343F" w14:textId="77777777">
        <w:tc>
          <w:tcPr>
            <w:tcW w:w="1985" w:type="dxa"/>
          </w:tcPr>
          <w:p w14:paraId="000180CC" w14:textId="77777777" w:rsidR="00086021" w:rsidRDefault="009E19AB">
            <w:pPr>
              <w:pStyle w:val="TableContents"/>
            </w:pPr>
            <w:r>
              <w:t>FP</w:t>
            </w:r>
          </w:p>
        </w:tc>
        <w:tc>
          <w:tcPr>
            <w:tcW w:w="7075" w:type="dxa"/>
          </w:tcPr>
          <w:p w14:paraId="54B6CAC1" w14:textId="77777777" w:rsidR="00086021" w:rsidRDefault="009E19AB">
            <w:pPr>
              <w:pStyle w:val="TableContents"/>
            </w:pPr>
            <w:r>
              <w:t>For Profit</w:t>
            </w:r>
          </w:p>
        </w:tc>
      </w:tr>
      <w:tr w:rsidR="00086021" w14:paraId="5B078A64" w14:textId="77777777">
        <w:tc>
          <w:tcPr>
            <w:tcW w:w="1985" w:type="dxa"/>
          </w:tcPr>
          <w:p w14:paraId="5B1A05F7" w14:textId="77777777" w:rsidR="00086021" w:rsidRDefault="009E19AB">
            <w:pPr>
              <w:pStyle w:val="TableContents"/>
            </w:pPr>
            <w:r>
              <w:t>GDP</w:t>
            </w:r>
          </w:p>
        </w:tc>
        <w:tc>
          <w:tcPr>
            <w:tcW w:w="7075" w:type="dxa"/>
          </w:tcPr>
          <w:p w14:paraId="1063AD99" w14:textId="77777777" w:rsidR="00086021" w:rsidRDefault="009E19AB">
            <w:pPr>
              <w:pStyle w:val="TableContents"/>
            </w:pPr>
            <w:r>
              <w:t>Gross Domestic Product</w:t>
            </w:r>
          </w:p>
        </w:tc>
      </w:tr>
      <w:tr w:rsidR="00086021" w14:paraId="1207A219" w14:textId="77777777">
        <w:tc>
          <w:tcPr>
            <w:tcW w:w="1985" w:type="dxa"/>
          </w:tcPr>
          <w:p w14:paraId="4B5506ED" w14:textId="77777777" w:rsidR="00086021" w:rsidRDefault="009E19AB">
            <w:pPr>
              <w:pStyle w:val="TableContents"/>
            </w:pPr>
            <w:r>
              <w:t>GoK</w:t>
            </w:r>
          </w:p>
        </w:tc>
        <w:tc>
          <w:tcPr>
            <w:tcW w:w="7075" w:type="dxa"/>
          </w:tcPr>
          <w:p w14:paraId="17F7A1D2" w14:textId="77777777" w:rsidR="00086021" w:rsidRDefault="009E19AB">
            <w:pPr>
              <w:pStyle w:val="TableContents"/>
            </w:pPr>
            <w:r>
              <w:t>Government of Kenya</w:t>
            </w:r>
          </w:p>
        </w:tc>
      </w:tr>
      <w:tr w:rsidR="00086021" w14:paraId="5030C562" w14:textId="77777777">
        <w:tc>
          <w:tcPr>
            <w:tcW w:w="1985" w:type="dxa"/>
          </w:tcPr>
          <w:p w14:paraId="49E26462" w14:textId="77777777" w:rsidR="00086021" w:rsidRDefault="009E19AB">
            <w:pPr>
              <w:pStyle w:val="TableContents"/>
            </w:pPr>
            <w:r>
              <w:t>HISP</w:t>
            </w:r>
          </w:p>
        </w:tc>
        <w:tc>
          <w:tcPr>
            <w:tcW w:w="7075" w:type="dxa"/>
          </w:tcPr>
          <w:p w14:paraId="0D31F280" w14:textId="77777777" w:rsidR="00086021" w:rsidRDefault="009E19AB">
            <w:pPr>
              <w:pStyle w:val="TableContents"/>
            </w:pPr>
            <w:r>
              <w:t>Health Insurance Subsidies Program</w:t>
            </w:r>
          </w:p>
        </w:tc>
      </w:tr>
      <w:tr w:rsidR="00086021" w14:paraId="3B4EF5B7" w14:textId="77777777">
        <w:tc>
          <w:tcPr>
            <w:tcW w:w="1985" w:type="dxa"/>
          </w:tcPr>
          <w:p w14:paraId="7A1112DF" w14:textId="77777777" w:rsidR="00086021" w:rsidRDefault="009E19AB">
            <w:pPr>
              <w:pStyle w:val="TableContents"/>
            </w:pPr>
            <w:r>
              <w:t>HIV</w:t>
            </w:r>
          </w:p>
        </w:tc>
        <w:tc>
          <w:tcPr>
            <w:tcW w:w="7075" w:type="dxa"/>
          </w:tcPr>
          <w:p w14:paraId="7C0DDFC8" w14:textId="77777777" w:rsidR="00086021" w:rsidRDefault="009E19AB">
            <w:pPr>
              <w:pStyle w:val="TableContents"/>
            </w:pPr>
            <w:r>
              <w:t>Human Immunodeficiency Virus</w:t>
            </w:r>
          </w:p>
        </w:tc>
      </w:tr>
      <w:tr w:rsidR="00086021" w14:paraId="79A4C028" w14:textId="77777777">
        <w:tc>
          <w:tcPr>
            <w:tcW w:w="1985" w:type="dxa"/>
          </w:tcPr>
          <w:p w14:paraId="5F354346" w14:textId="77777777" w:rsidR="00086021" w:rsidRDefault="009E19AB">
            <w:pPr>
              <w:pStyle w:val="TableContents"/>
            </w:pPr>
            <w:r>
              <w:t>HPV</w:t>
            </w:r>
          </w:p>
        </w:tc>
        <w:tc>
          <w:tcPr>
            <w:tcW w:w="7075" w:type="dxa"/>
          </w:tcPr>
          <w:p w14:paraId="1962AD72" w14:textId="77777777" w:rsidR="00086021" w:rsidRDefault="009E19AB">
            <w:pPr>
              <w:pStyle w:val="TableContents"/>
            </w:pPr>
            <w:r>
              <w:t>Human Papilloma Virus</w:t>
            </w:r>
          </w:p>
        </w:tc>
      </w:tr>
      <w:tr w:rsidR="00086021" w14:paraId="283ED6B7" w14:textId="77777777">
        <w:tc>
          <w:tcPr>
            <w:tcW w:w="1985" w:type="dxa"/>
          </w:tcPr>
          <w:p w14:paraId="406CC541" w14:textId="77777777" w:rsidR="00086021" w:rsidRDefault="009E19AB">
            <w:pPr>
              <w:pStyle w:val="TableContents"/>
            </w:pPr>
            <w:r>
              <w:t>HSSF</w:t>
            </w:r>
          </w:p>
        </w:tc>
        <w:tc>
          <w:tcPr>
            <w:tcW w:w="7075" w:type="dxa"/>
          </w:tcPr>
          <w:p w14:paraId="27D818DE" w14:textId="77777777" w:rsidR="00086021" w:rsidRDefault="009E19AB">
            <w:pPr>
              <w:pStyle w:val="TableContents"/>
            </w:pPr>
            <w:r>
              <w:t>Health Sector Services Fund</w:t>
            </w:r>
          </w:p>
        </w:tc>
      </w:tr>
      <w:tr w:rsidR="00086021" w14:paraId="65E504A6" w14:textId="77777777">
        <w:tc>
          <w:tcPr>
            <w:tcW w:w="1985" w:type="dxa"/>
          </w:tcPr>
          <w:p w14:paraId="0DBFEAB3" w14:textId="77777777" w:rsidR="00086021" w:rsidRDefault="009E19AB">
            <w:pPr>
              <w:pStyle w:val="TableContents"/>
            </w:pPr>
            <w:r>
              <w:t>KASF</w:t>
            </w:r>
          </w:p>
        </w:tc>
        <w:tc>
          <w:tcPr>
            <w:tcW w:w="7075" w:type="dxa"/>
          </w:tcPr>
          <w:p w14:paraId="169B7BB1" w14:textId="77777777" w:rsidR="00086021" w:rsidRDefault="009E19AB">
            <w:pPr>
              <w:pStyle w:val="TableContents"/>
            </w:pPr>
            <w:r>
              <w:t>Kenya Aids Strategic Framework</w:t>
            </w:r>
          </w:p>
        </w:tc>
      </w:tr>
      <w:tr w:rsidR="00086021" w14:paraId="246ACAEB" w14:textId="77777777">
        <w:tc>
          <w:tcPr>
            <w:tcW w:w="1985" w:type="dxa"/>
          </w:tcPr>
          <w:p w14:paraId="1DF03BDC" w14:textId="77777777" w:rsidR="00086021" w:rsidRDefault="009E19AB">
            <w:pPr>
              <w:pStyle w:val="TableContents"/>
            </w:pPr>
            <w:r>
              <w:t>KDHS</w:t>
            </w:r>
          </w:p>
        </w:tc>
        <w:tc>
          <w:tcPr>
            <w:tcW w:w="7075" w:type="dxa"/>
          </w:tcPr>
          <w:p w14:paraId="24351B73" w14:textId="77777777" w:rsidR="00086021" w:rsidRDefault="009E19AB">
            <w:pPr>
              <w:pStyle w:val="TableContents"/>
            </w:pPr>
            <w:r>
              <w:t>Kenya Demographic Health Survey</w:t>
            </w:r>
          </w:p>
        </w:tc>
      </w:tr>
      <w:tr w:rsidR="00086021" w14:paraId="79D9AD22" w14:textId="77777777">
        <w:tc>
          <w:tcPr>
            <w:tcW w:w="1985" w:type="dxa"/>
          </w:tcPr>
          <w:p w14:paraId="2FF75F6E" w14:textId="77777777" w:rsidR="00086021" w:rsidRDefault="009E19AB">
            <w:pPr>
              <w:pStyle w:val="TableContents"/>
            </w:pPr>
            <w:r>
              <w:t>KEMSA</w:t>
            </w:r>
          </w:p>
        </w:tc>
        <w:tc>
          <w:tcPr>
            <w:tcW w:w="7075" w:type="dxa"/>
          </w:tcPr>
          <w:p w14:paraId="4014D26E" w14:textId="77777777" w:rsidR="00086021" w:rsidRDefault="009E19AB">
            <w:pPr>
              <w:pStyle w:val="TableContents"/>
            </w:pPr>
            <w:r>
              <w:t>Kenya Medical Supplies Authority</w:t>
            </w:r>
          </w:p>
        </w:tc>
      </w:tr>
      <w:tr w:rsidR="00086021" w14:paraId="594C46B2" w14:textId="77777777">
        <w:tc>
          <w:tcPr>
            <w:tcW w:w="1985" w:type="dxa"/>
          </w:tcPr>
          <w:p w14:paraId="2ED3F620" w14:textId="77777777" w:rsidR="00086021" w:rsidRDefault="009E19AB">
            <w:pPr>
              <w:pStyle w:val="TableContents"/>
            </w:pPr>
            <w:r>
              <w:t>KEPH</w:t>
            </w:r>
          </w:p>
        </w:tc>
        <w:tc>
          <w:tcPr>
            <w:tcW w:w="7075" w:type="dxa"/>
          </w:tcPr>
          <w:p w14:paraId="1495FE5F" w14:textId="77777777" w:rsidR="00086021" w:rsidRDefault="009E19AB">
            <w:pPr>
              <w:pStyle w:val="TableContents"/>
            </w:pPr>
            <w:r>
              <w:t>Kenya Essential Package for Health</w:t>
            </w:r>
          </w:p>
        </w:tc>
      </w:tr>
      <w:tr w:rsidR="00086021" w14:paraId="59D8CEC2" w14:textId="77777777">
        <w:tc>
          <w:tcPr>
            <w:tcW w:w="1985" w:type="dxa"/>
          </w:tcPr>
          <w:p w14:paraId="5E40FFBE" w14:textId="77777777" w:rsidR="00086021" w:rsidRDefault="009E19AB">
            <w:pPr>
              <w:pStyle w:val="TableContents"/>
            </w:pPr>
            <w:r>
              <w:t>KES</w:t>
            </w:r>
          </w:p>
        </w:tc>
        <w:tc>
          <w:tcPr>
            <w:tcW w:w="7075" w:type="dxa"/>
          </w:tcPr>
          <w:p w14:paraId="7E9FF722" w14:textId="77777777" w:rsidR="00086021" w:rsidRDefault="009E19AB">
            <w:pPr>
              <w:pStyle w:val="TableContents"/>
            </w:pPr>
            <w:r>
              <w:t>Kenya Shillings</w:t>
            </w:r>
          </w:p>
        </w:tc>
      </w:tr>
      <w:tr w:rsidR="00086021" w14:paraId="1DECAA70" w14:textId="77777777">
        <w:tc>
          <w:tcPr>
            <w:tcW w:w="1985" w:type="dxa"/>
          </w:tcPr>
          <w:p w14:paraId="6D80C89B" w14:textId="77777777" w:rsidR="00086021" w:rsidRDefault="009E19AB">
            <w:pPr>
              <w:pStyle w:val="TableContents"/>
            </w:pPr>
            <w:r>
              <w:t>KHHEUS</w:t>
            </w:r>
          </w:p>
        </w:tc>
        <w:tc>
          <w:tcPr>
            <w:tcW w:w="7075" w:type="dxa"/>
          </w:tcPr>
          <w:p w14:paraId="009CE43D" w14:textId="77777777" w:rsidR="00086021" w:rsidRDefault="009E19AB">
            <w:pPr>
              <w:pStyle w:val="TableContents"/>
            </w:pPr>
            <w:r>
              <w:t>Kenya Household Health Expenditure Survey</w:t>
            </w:r>
          </w:p>
        </w:tc>
      </w:tr>
      <w:tr w:rsidR="00086021" w14:paraId="3A3126B0" w14:textId="77777777">
        <w:tc>
          <w:tcPr>
            <w:tcW w:w="1985" w:type="dxa"/>
          </w:tcPr>
          <w:p w14:paraId="1B535FF6" w14:textId="77777777" w:rsidR="00086021" w:rsidRDefault="009E19AB">
            <w:pPr>
              <w:pStyle w:val="TableContents"/>
            </w:pPr>
            <w:r>
              <w:t>KIPPRA</w:t>
            </w:r>
          </w:p>
        </w:tc>
        <w:tc>
          <w:tcPr>
            <w:tcW w:w="7075" w:type="dxa"/>
          </w:tcPr>
          <w:p w14:paraId="6895141A" w14:textId="77777777" w:rsidR="00086021" w:rsidRDefault="009E19AB">
            <w:pPr>
              <w:pStyle w:val="TableContents"/>
            </w:pPr>
            <w:r>
              <w:t>Kenya Institute for Public Policy Research and Analysis</w:t>
            </w:r>
          </w:p>
        </w:tc>
      </w:tr>
      <w:tr w:rsidR="00086021" w14:paraId="041526E4" w14:textId="77777777">
        <w:tc>
          <w:tcPr>
            <w:tcW w:w="1985" w:type="dxa"/>
          </w:tcPr>
          <w:p w14:paraId="0AA60C0D" w14:textId="77777777" w:rsidR="00086021" w:rsidRDefault="009E19AB">
            <w:pPr>
              <w:pStyle w:val="TableContents"/>
            </w:pPr>
            <w:r>
              <w:t>KP</w:t>
            </w:r>
          </w:p>
        </w:tc>
        <w:tc>
          <w:tcPr>
            <w:tcW w:w="7075" w:type="dxa"/>
          </w:tcPr>
          <w:p w14:paraId="1F290798" w14:textId="77777777" w:rsidR="00086021" w:rsidRDefault="009E19AB">
            <w:pPr>
              <w:pStyle w:val="TableContents"/>
            </w:pPr>
            <w:r>
              <w:t>Key Populations</w:t>
            </w:r>
          </w:p>
        </w:tc>
      </w:tr>
      <w:tr w:rsidR="00086021" w14:paraId="15CE31E8" w14:textId="77777777">
        <w:tc>
          <w:tcPr>
            <w:tcW w:w="1985" w:type="dxa"/>
          </w:tcPr>
          <w:p w14:paraId="3A81B60C" w14:textId="77777777" w:rsidR="00086021" w:rsidRDefault="009E19AB">
            <w:pPr>
              <w:pStyle w:val="TableContents"/>
            </w:pPr>
            <w:r>
              <w:t>LMIC</w:t>
            </w:r>
          </w:p>
        </w:tc>
        <w:tc>
          <w:tcPr>
            <w:tcW w:w="7075" w:type="dxa"/>
          </w:tcPr>
          <w:p w14:paraId="1D31AD33" w14:textId="77777777" w:rsidR="00086021" w:rsidRDefault="009E19AB">
            <w:pPr>
              <w:pStyle w:val="TableContents"/>
            </w:pPr>
            <w:r>
              <w:t>Low- and Middle-Income Country</w:t>
            </w:r>
          </w:p>
        </w:tc>
      </w:tr>
      <w:tr w:rsidR="00086021" w14:paraId="70E3BB0D" w14:textId="77777777">
        <w:tc>
          <w:tcPr>
            <w:tcW w:w="1985" w:type="dxa"/>
          </w:tcPr>
          <w:p w14:paraId="225D437C" w14:textId="77777777" w:rsidR="00086021" w:rsidRDefault="009E19AB">
            <w:pPr>
              <w:pStyle w:val="TableContents"/>
            </w:pPr>
            <w:r>
              <w:t>MEDS</w:t>
            </w:r>
          </w:p>
        </w:tc>
        <w:tc>
          <w:tcPr>
            <w:tcW w:w="7075" w:type="dxa"/>
          </w:tcPr>
          <w:p w14:paraId="6EF2BA58" w14:textId="77777777" w:rsidR="00086021" w:rsidRDefault="009E19AB">
            <w:pPr>
              <w:pStyle w:val="TableContents"/>
            </w:pPr>
            <w:r>
              <w:t>Mission for Essential Drugs and Supplies</w:t>
            </w:r>
          </w:p>
        </w:tc>
      </w:tr>
      <w:tr w:rsidR="00086021" w14:paraId="5B478324" w14:textId="77777777">
        <w:tc>
          <w:tcPr>
            <w:tcW w:w="1985" w:type="dxa"/>
          </w:tcPr>
          <w:p w14:paraId="6B8BCFF1" w14:textId="77777777" w:rsidR="00086021" w:rsidRDefault="009E19AB">
            <w:pPr>
              <w:pStyle w:val="TableContents"/>
            </w:pPr>
            <w:r>
              <w:t>MoH</w:t>
            </w:r>
          </w:p>
        </w:tc>
        <w:tc>
          <w:tcPr>
            <w:tcW w:w="7075" w:type="dxa"/>
          </w:tcPr>
          <w:p w14:paraId="6DB531E1" w14:textId="77777777" w:rsidR="00086021" w:rsidRDefault="009E19AB">
            <w:pPr>
              <w:pStyle w:val="TableContents"/>
            </w:pPr>
            <w:r>
              <w:t>Ministry of Health</w:t>
            </w:r>
          </w:p>
        </w:tc>
      </w:tr>
      <w:tr w:rsidR="00086021" w14:paraId="7C310154" w14:textId="77777777">
        <w:tc>
          <w:tcPr>
            <w:tcW w:w="1985" w:type="dxa"/>
          </w:tcPr>
          <w:p w14:paraId="617EE666" w14:textId="77777777" w:rsidR="00086021" w:rsidRDefault="009E19AB">
            <w:pPr>
              <w:pStyle w:val="TableContents"/>
            </w:pPr>
            <w:r>
              <w:t>MSM</w:t>
            </w:r>
          </w:p>
        </w:tc>
        <w:tc>
          <w:tcPr>
            <w:tcW w:w="7075" w:type="dxa"/>
          </w:tcPr>
          <w:p w14:paraId="5C59CD97" w14:textId="77777777" w:rsidR="00086021" w:rsidRDefault="009E19AB">
            <w:pPr>
              <w:pStyle w:val="TableContents"/>
            </w:pPr>
            <w:r>
              <w:t>Men who have Sex with Men</w:t>
            </w:r>
          </w:p>
        </w:tc>
      </w:tr>
      <w:tr w:rsidR="00086021" w14:paraId="0D7C130F" w14:textId="77777777">
        <w:tc>
          <w:tcPr>
            <w:tcW w:w="1985" w:type="dxa"/>
          </w:tcPr>
          <w:p w14:paraId="7F0CEDCC" w14:textId="77777777" w:rsidR="00086021" w:rsidRDefault="009E19AB">
            <w:pPr>
              <w:pStyle w:val="TableContents"/>
            </w:pPr>
            <w:r>
              <w:t>NACC</w:t>
            </w:r>
          </w:p>
        </w:tc>
        <w:tc>
          <w:tcPr>
            <w:tcW w:w="7075" w:type="dxa"/>
          </w:tcPr>
          <w:p w14:paraId="2E0B95BC" w14:textId="77777777" w:rsidR="00086021" w:rsidRDefault="009E19AB">
            <w:pPr>
              <w:pStyle w:val="TableContents"/>
            </w:pPr>
            <w:r>
              <w:t>National Aids Control Council</w:t>
            </w:r>
          </w:p>
        </w:tc>
      </w:tr>
      <w:tr w:rsidR="00086021" w14:paraId="0A226105" w14:textId="77777777">
        <w:tc>
          <w:tcPr>
            <w:tcW w:w="1985" w:type="dxa"/>
          </w:tcPr>
          <w:p w14:paraId="6BF3DE0B" w14:textId="77777777" w:rsidR="00086021" w:rsidRDefault="009E19AB">
            <w:pPr>
              <w:pStyle w:val="TableContents"/>
            </w:pPr>
            <w:r>
              <w:t>NASCOP</w:t>
            </w:r>
          </w:p>
        </w:tc>
        <w:tc>
          <w:tcPr>
            <w:tcW w:w="7075" w:type="dxa"/>
          </w:tcPr>
          <w:p w14:paraId="059A43A9" w14:textId="77777777" w:rsidR="00086021" w:rsidRDefault="009E19AB">
            <w:pPr>
              <w:pStyle w:val="TableContents"/>
            </w:pPr>
            <w:r>
              <w:t>National AIDS and STIs Control Program</w:t>
            </w:r>
          </w:p>
        </w:tc>
      </w:tr>
      <w:tr w:rsidR="00086021" w14:paraId="3F817179" w14:textId="77777777">
        <w:tc>
          <w:tcPr>
            <w:tcW w:w="1985" w:type="dxa"/>
          </w:tcPr>
          <w:p w14:paraId="63F0C040" w14:textId="77777777" w:rsidR="00086021" w:rsidRDefault="009E19AB">
            <w:pPr>
              <w:pStyle w:val="TableContents"/>
            </w:pPr>
            <w:r>
              <w:t>NFP</w:t>
            </w:r>
          </w:p>
        </w:tc>
        <w:tc>
          <w:tcPr>
            <w:tcW w:w="7075" w:type="dxa"/>
          </w:tcPr>
          <w:p w14:paraId="260C4360" w14:textId="77777777" w:rsidR="00086021" w:rsidRDefault="009E19AB">
            <w:pPr>
              <w:pStyle w:val="TableContents"/>
            </w:pPr>
            <w:r>
              <w:t>Not for Profit</w:t>
            </w:r>
          </w:p>
        </w:tc>
      </w:tr>
      <w:tr w:rsidR="00086021" w14:paraId="3FB5E983" w14:textId="77777777">
        <w:tc>
          <w:tcPr>
            <w:tcW w:w="1985" w:type="dxa"/>
          </w:tcPr>
          <w:p w14:paraId="63EB0041" w14:textId="77777777" w:rsidR="00086021" w:rsidRDefault="009E19AB">
            <w:pPr>
              <w:pStyle w:val="TableContents"/>
            </w:pPr>
            <w:r>
              <w:t>NGO</w:t>
            </w:r>
          </w:p>
        </w:tc>
        <w:tc>
          <w:tcPr>
            <w:tcW w:w="7075" w:type="dxa"/>
          </w:tcPr>
          <w:p w14:paraId="49759A86" w14:textId="77777777" w:rsidR="00086021" w:rsidRDefault="009E19AB">
            <w:pPr>
              <w:pStyle w:val="TableContents"/>
            </w:pPr>
            <w:r>
              <w:t>Non-Governmental Organization</w:t>
            </w:r>
          </w:p>
        </w:tc>
      </w:tr>
      <w:tr w:rsidR="00086021" w14:paraId="01871E89" w14:textId="77777777">
        <w:tc>
          <w:tcPr>
            <w:tcW w:w="1985" w:type="dxa"/>
          </w:tcPr>
          <w:p w14:paraId="40CC1078" w14:textId="77777777" w:rsidR="00086021" w:rsidRDefault="009E19AB">
            <w:pPr>
              <w:pStyle w:val="TableContents"/>
            </w:pPr>
            <w:r>
              <w:t>NHA</w:t>
            </w:r>
          </w:p>
        </w:tc>
        <w:tc>
          <w:tcPr>
            <w:tcW w:w="7075" w:type="dxa"/>
          </w:tcPr>
          <w:p w14:paraId="6FA0A92D" w14:textId="77777777" w:rsidR="00086021" w:rsidRDefault="009E19AB">
            <w:pPr>
              <w:pStyle w:val="TableContents"/>
            </w:pPr>
            <w:r>
              <w:t>National Health Accounts</w:t>
            </w:r>
          </w:p>
        </w:tc>
      </w:tr>
      <w:tr w:rsidR="00086021" w14:paraId="7DD5233B" w14:textId="77777777">
        <w:tc>
          <w:tcPr>
            <w:tcW w:w="1985" w:type="dxa"/>
          </w:tcPr>
          <w:p w14:paraId="37AB128F" w14:textId="77777777" w:rsidR="00086021" w:rsidRDefault="009E19AB">
            <w:pPr>
              <w:pStyle w:val="TableContents"/>
            </w:pPr>
            <w:r>
              <w:t>NHIF</w:t>
            </w:r>
          </w:p>
        </w:tc>
        <w:tc>
          <w:tcPr>
            <w:tcW w:w="7075" w:type="dxa"/>
          </w:tcPr>
          <w:p w14:paraId="38F3D8E9" w14:textId="77777777" w:rsidR="00086021" w:rsidRDefault="009E19AB">
            <w:pPr>
              <w:pStyle w:val="TableContents"/>
            </w:pPr>
            <w:r>
              <w:t>National Hospital Insurance Fund</w:t>
            </w:r>
          </w:p>
        </w:tc>
      </w:tr>
      <w:tr w:rsidR="00086021" w14:paraId="355995A3" w14:textId="77777777">
        <w:tc>
          <w:tcPr>
            <w:tcW w:w="1985" w:type="dxa"/>
          </w:tcPr>
          <w:p w14:paraId="74B57E4C" w14:textId="77777777" w:rsidR="00086021" w:rsidRDefault="009E19AB">
            <w:pPr>
              <w:pStyle w:val="TableContents"/>
            </w:pPr>
            <w:r>
              <w:t>NSP</w:t>
            </w:r>
          </w:p>
        </w:tc>
        <w:tc>
          <w:tcPr>
            <w:tcW w:w="7075" w:type="dxa"/>
          </w:tcPr>
          <w:p w14:paraId="71BB3127" w14:textId="77777777" w:rsidR="00086021" w:rsidRDefault="009E19AB">
            <w:pPr>
              <w:pStyle w:val="TableContents"/>
            </w:pPr>
            <w:r>
              <w:t>Needle and Syringe Program</w:t>
            </w:r>
          </w:p>
        </w:tc>
      </w:tr>
      <w:tr w:rsidR="00086021" w14:paraId="65194DC3" w14:textId="77777777">
        <w:tc>
          <w:tcPr>
            <w:tcW w:w="1985" w:type="dxa"/>
          </w:tcPr>
          <w:p w14:paraId="48CE5A6B" w14:textId="77777777" w:rsidR="00086021" w:rsidRDefault="009E19AB">
            <w:pPr>
              <w:pStyle w:val="TableContents"/>
            </w:pPr>
            <w:r>
              <w:t>OOP</w:t>
            </w:r>
          </w:p>
        </w:tc>
        <w:tc>
          <w:tcPr>
            <w:tcW w:w="7075" w:type="dxa"/>
          </w:tcPr>
          <w:p w14:paraId="2F6F8A4C" w14:textId="77777777" w:rsidR="00086021" w:rsidRDefault="009E19AB">
            <w:pPr>
              <w:pStyle w:val="TableContents"/>
            </w:pPr>
            <w:r>
              <w:t>Out of Pocket</w:t>
            </w:r>
          </w:p>
        </w:tc>
      </w:tr>
      <w:tr w:rsidR="00086021" w14:paraId="27AD00FF" w14:textId="77777777">
        <w:tc>
          <w:tcPr>
            <w:tcW w:w="1985" w:type="dxa"/>
          </w:tcPr>
          <w:p w14:paraId="16C92EF9" w14:textId="77777777" w:rsidR="00086021" w:rsidRDefault="009E19AB">
            <w:pPr>
              <w:pStyle w:val="TableContents"/>
            </w:pPr>
            <w:r>
              <w:t>PBO</w:t>
            </w:r>
          </w:p>
        </w:tc>
        <w:tc>
          <w:tcPr>
            <w:tcW w:w="7075" w:type="dxa"/>
          </w:tcPr>
          <w:p w14:paraId="3F1BC6F8" w14:textId="77777777" w:rsidR="00086021" w:rsidRDefault="009E19AB">
            <w:pPr>
              <w:pStyle w:val="TableContents"/>
            </w:pPr>
            <w:r>
              <w:t>Public Benefits Organization</w:t>
            </w:r>
          </w:p>
        </w:tc>
      </w:tr>
      <w:tr w:rsidR="00086021" w14:paraId="6C78A606" w14:textId="77777777">
        <w:tc>
          <w:tcPr>
            <w:tcW w:w="1985" w:type="dxa"/>
          </w:tcPr>
          <w:p w14:paraId="330BF581" w14:textId="77777777" w:rsidR="00086021" w:rsidRDefault="009E19AB">
            <w:pPr>
              <w:pStyle w:val="TableContents"/>
            </w:pPr>
            <w:r>
              <w:t>PEPFAR</w:t>
            </w:r>
          </w:p>
        </w:tc>
        <w:tc>
          <w:tcPr>
            <w:tcW w:w="7075" w:type="dxa"/>
          </w:tcPr>
          <w:p w14:paraId="6CD6188C" w14:textId="77777777" w:rsidR="00086021" w:rsidRDefault="009E19AB">
            <w:pPr>
              <w:pStyle w:val="TableContents"/>
            </w:pPr>
            <w:r>
              <w:t>President’s Emergency Plan for AIDS Relief</w:t>
            </w:r>
          </w:p>
        </w:tc>
      </w:tr>
      <w:tr w:rsidR="00086021" w14:paraId="47080178" w14:textId="77777777">
        <w:tc>
          <w:tcPr>
            <w:tcW w:w="1985" w:type="dxa"/>
          </w:tcPr>
          <w:p w14:paraId="6B86150F" w14:textId="77777777" w:rsidR="00086021" w:rsidRDefault="009E19AB">
            <w:pPr>
              <w:pStyle w:val="TableContents"/>
            </w:pPr>
            <w:r>
              <w:t>PFM</w:t>
            </w:r>
          </w:p>
        </w:tc>
        <w:tc>
          <w:tcPr>
            <w:tcW w:w="7075" w:type="dxa"/>
          </w:tcPr>
          <w:p w14:paraId="11E2DB69" w14:textId="77777777" w:rsidR="00086021" w:rsidRDefault="009E19AB">
            <w:pPr>
              <w:pStyle w:val="TableContents"/>
            </w:pPr>
            <w:r>
              <w:t>Public Finance Management</w:t>
            </w:r>
          </w:p>
        </w:tc>
      </w:tr>
      <w:tr w:rsidR="00086021" w14:paraId="46A25469" w14:textId="77777777">
        <w:tc>
          <w:tcPr>
            <w:tcW w:w="1985" w:type="dxa"/>
          </w:tcPr>
          <w:p w14:paraId="192D2686" w14:textId="77777777" w:rsidR="00086021" w:rsidRDefault="009E19AB">
            <w:pPr>
              <w:pStyle w:val="TableContents"/>
            </w:pPr>
            <w:r>
              <w:t>PLWH</w:t>
            </w:r>
          </w:p>
        </w:tc>
        <w:tc>
          <w:tcPr>
            <w:tcW w:w="7075" w:type="dxa"/>
          </w:tcPr>
          <w:p w14:paraId="742B928E" w14:textId="77777777" w:rsidR="00086021" w:rsidRDefault="009E19AB">
            <w:pPr>
              <w:pStyle w:val="TableContents"/>
            </w:pPr>
            <w:r>
              <w:t>People living with HIV/AIDS</w:t>
            </w:r>
          </w:p>
        </w:tc>
      </w:tr>
      <w:tr w:rsidR="00086021" w14:paraId="38B86F6D" w14:textId="77777777">
        <w:tc>
          <w:tcPr>
            <w:tcW w:w="1985" w:type="dxa"/>
          </w:tcPr>
          <w:p w14:paraId="5C8D1FAD" w14:textId="77777777" w:rsidR="00086021" w:rsidRDefault="009E19AB">
            <w:pPr>
              <w:pStyle w:val="TableContents"/>
            </w:pPr>
            <w:r>
              <w:t>PWID</w:t>
            </w:r>
          </w:p>
        </w:tc>
        <w:tc>
          <w:tcPr>
            <w:tcW w:w="7075" w:type="dxa"/>
          </w:tcPr>
          <w:p w14:paraId="2D052064" w14:textId="77777777" w:rsidR="00086021" w:rsidRDefault="009E19AB">
            <w:pPr>
              <w:pStyle w:val="TableContents"/>
            </w:pPr>
            <w:r>
              <w:t>People who inject Drugs</w:t>
            </w:r>
          </w:p>
        </w:tc>
      </w:tr>
      <w:tr w:rsidR="00086021" w14:paraId="4EB5F031" w14:textId="77777777">
        <w:tc>
          <w:tcPr>
            <w:tcW w:w="1985" w:type="dxa"/>
          </w:tcPr>
          <w:p w14:paraId="16976CEF" w14:textId="77777777" w:rsidR="00086021" w:rsidRDefault="009E19AB">
            <w:pPr>
              <w:pStyle w:val="TableContents"/>
            </w:pPr>
            <w:r>
              <w:t>RAPID</w:t>
            </w:r>
          </w:p>
        </w:tc>
        <w:tc>
          <w:tcPr>
            <w:tcW w:w="7075" w:type="dxa"/>
          </w:tcPr>
          <w:p w14:paraId="4A3AD97A" w14:textId="77777777" w:rsidR="00086021" w:rsidRDefault="009E19AB">
            <w:pPr>
              <w:pStyle w:val="TableContents"/>
            </w:pPr>
            <w:r>
              <w:t>Research and Policy in Development</w:t>
            </w:r>
          </w:p>
        </w:tc>
      </w:tr>
      <w:tr w:rsidR="00086021" w14:paraId="78E4F48A" w14:textId="77777777">
        <w:tc>
          <w:tcPr>
            <w:tcW w:w="1985" w:type="dxa"/>
          </w:tcPr>
          <w:p w14:paraId="34CC5D98" w14:textId="77777777" w:rsidR="00086021" w:rsidRDefault="009E19AB">
            <w:pPr>
              <w:pStyle w:val="TableContents"/>
            </w:pPr>
            <w:r>
              <w:t>SHI</w:t>
            </w:r>
          </w:p>
        </w:tc>
        <w:tc>
          <w:tcPr>
            <w:tcW w:w="7075" w:type="dxa"/>
          </w:tcPr>
          <w:p w14:paraId="1F2F693C" w14:textId="77777777" w:rsidR="00086021" w:rsidRDefault="009E19AB">
            <w:pPr>
              <w:pStyle w:val="TableContents"/>
            </w:pPr>
            <w:r>
              <w:t>Social Health Insurance</w:t>
            </w:r>
          </w:p>
        </w:tc>
      </w:tr>
      <w:tr w:rsidR="00086021" w14:paraId="12326CA2" w14:textId="77777777">
        <w:tc>
          <w:tcPr>
            <w:tcW w:w="1985" w:type="dxa"/>
          </w:tcPr>
          <w:p w14:paraId="028658DC" w14:textId="77777777" w:rsidR="00086021" w:rsidRDefault="009E19AB">
            <w:pPr>
              <w:pStyle w:val="TableContents"/>
            </w:pPr>
            <w:r>
              <w:t>STI</w:t>
            </w:r>
          </w:p>
        </w:tc>
        <w:tc>
          <w:tcPr>
            <w:tcW w:w="7075" w:type="dxa"/>
          </w:tcPr>
          <w:p w14:paraId="770B93CF" w14:textId="77777777" w:rsidR="00086021" w:rsidRDefault="009E19AB">
            <w:pPr>
              <w:pStyle w:val="TableContents"/>
            </w:pPr>
            <w:r>
              <w:t>Sexually Transmitted Infection</w:t>
            </w:r>
          </w:p>
        </w:tc>
      </w:tr>
      <w:tr w:rsidR="00086021" w14:paraId="795B288B" w14:textId="77777777">
        <w:tc>
          <w:tcPr>
            <w:tcW w:w="1985" w:type="dxa"/>
          </w:tcPr>
          <w:p w14:paraId="337E33C8" w14:textId="77777777" w:rsidR="00086021" w:rsidRDefault="009E19AB">
            <w:pPr>
              <w:pStyle w:val="TableContents"/>
            </w:pPr>
            <w:r>
              <w:t>THE</w:t>
            </w:r>
          </w:p>
        </w:tc>
        <w:tc>
          <w:tcPr>
            <w:tcW w:w="7075" w:type="dxa"/>
          </w:tcPr>
          <w:p w14:paraId="0B954A97" w14:textId="77777777" w:rsidR="00086021" w:rsidRDefault="009E19AB">
            <w:pPr>
              <w:pStyle w:val="TableContents"/>
            </w:pPr>
            <w:r>
              <w:t>Total Health Expenditure</w:t>
            </w:r>
          </w:p>
        </w:tc>
      </w:tr>
      <w:tr w:rsidR="00086021" w14:paraId="5CA2CDB1" w14:textId="77777777">
        <w:tc>
          <w:tcPr>
            <w:tcW w:w="1985" w:type="dxa"/>
          </w:tcPr>
          <w:p w14:paraId="392F4459" w14:textId="77777777" w:rsidR="00086021" w:rsidRDefault="009E19AB">
            <w:pPr>
              <w:pStyle w:val="TableContents"/>
            </w:pPr>
            <w:r>
              <w:t>UHC</w:t>
            </w:r>
          </w:p>
        </w:tc>
        <w:tc>
          <w:tcPr>
            <w:tcW w:w="7075" w:type="dxa"/>
          </w:tcPr>
          <w:p w14:paraId="655DDAE1" w14:textId="77777777" w:rsidR="00086021" w:rsidRDefault="009E19AB">
            <w:pPr>
              <w:pStyle w:val="TableContents"/>
            </w:pPr>
            <w:r>
              <w:t>Universal Health Coverage</w:t>
            </w:r>
          </w:p>
        </w:tc>
      </w:tr>
    </w:tbl>
    <w:p w14:paraId="6CB9E4FA" w14:textId="77777777" w:rsidR="00086021" w:rsidRDefault="00086021"/>
    <w:p w14:paraId="32923751" w14:textId="77777777" w:rsidR="00086021" w:rsidRDefault="00086021"/>
    <w:p w14:paraId="2E60F8DE" w14:textId="77777777" w:rsidR="00086021" w:rsidRDefault="00086021"/>
    <w:p w14:paraId="59381957" w14:textId="77777777" w:rsidR="00086021" w:rsidRDefault="009E19AB">
      <w:r>
        <w:br w:type="page"/>
      </w:r>
    </w:p>
    <w:p w14:paraId="5830FD63" w14:textId="77777777" w:rsidR="00086021" w:rsidRDefault="009E19AB">
      <w:pPr>
        <w:pStyle w:val="Heading1"/>
      </w:pPr>
      <w:bookmarkStart w:id="0" w:name="_Toc56998955"/>
      <w:r>
        <w:lastRenderedPageBreak/>
        <w:t>Executive Summary</w:t>
      </w:r>
      <w:bookmarkEnd w:id="0"/>
    </w:p>
    <w:p w14:paraId="6A75B68C" w14:textId="77777777" w:rsidR="00086021" w:rsidRDefault="00086021">
      <w:pPr>
        <w:pStyle w:val="BodyText"/>
        <w:rPr>
          <w:color w:val="000000"/>
          <w:sz w:val="20"/>
          <w:szCs w:val="20"/>
        </w:rPr>
      </w:pPr>
    </w:p>
    <w:p w14:paraId="40E9152A" w14:textId="77777777" w:rsidR="00086021" w:rsidRDefault="009E19AB" w:rsidP="00C80431">
      <w:pPr>
        <w:pStyle w:val="BodyText"/>
        <w:jc w:val="both"/>
        <w:rPr>
          <w:sz w:val="20"/>
          <w:szCs w:val="20"/>
        </w:rPr>
      </w:pPr>
      <w:r>
        <w:rPr>
          <w:sz w:val="20"/>
          <w:szCs w:val="20"/>
        </w:rPr>
        <w:t xml:space="preserve">Kenya has made a commitment to achieve universal health coverage (UHC) by 2022 as one of the “Big Four” government agenda for sustainable development. While UHC is about making all people access quality healthcare that they need without suffering financial hardship, the challenge has been to ensure all people, including key populations (KP) and adolescent girls and young women (AGYW), are not left out in the health financing considerations. </w:t>
      </w:r>
    </w:p>
    <w:p w14:paraId="48DDD336" w14:textId="070B8136" w:rsidR="00086021" w:rsidRDefault="009E19AB" w:rsidP="00C80431">
      <w:pPr>
        <w:pStyle w:val="BodyText"/>
        <w:jc w:val="both"/>
        <w:rPr>
          <w:sz w:val="20"/>
          <w:szCs w:val="20"/>
        </w:rPr>
      </w:pPr>
      <w:r>
        <w:rPr>
          <w:rFonts w:eastAsia="Abadi Extra Light" w:cs="Abadi Extra Light"/>
          <w:sz w:val="20"/>
          <w:szCs w:val="20"/>
        </w:rPr>
        <w:t xml:space="preserve">This study was a situational analysis aimed to </w:t>
      </w:r>
      <w:r>
        <w:rPr>
          <w:rFonts w:eastAsia="Abadi Extra Light" w:cs="Abadi Extra Light"/>
          <w:sz w:val="20"/>
          <w:szCs w:val="20"/>
          <w:lang w:val="en-GB"/>
        </w:rPr>
        <w:t>generate evidence on the current healthcare financing landscape including KP and AGYW programme financing in Kenya.</w:t>
      </w:r>
      <w:r>
        <w:rPr>
          <w:rFonts w:eastAsia="Abadi Extra Light" w:cs="Abadi Extra Light"/>
          <w:sz w:val="20"/>
          <w:szCs w:val="20"/>
        </w:rPr>
        <w:t xml:space="preserve"> The findings would then inform the </w:t>
      </w:r>
      <w:r>
        <w:rPr>
          <w:rFonts w:eastAsia="Abadi Extra Light" w:cs="Abadi Extra Light"/>
          <w:sz w:val="20"/>
          <w:szCs w:val="20"/>
          <w:lang w:val="en-GB"/>
        </w:rPr>
        <w:t xml:space="preserve">development of a contextualized advocacy training manual on health financing and domestic resource </w:t>
      </w:r>
      <w:r w:rsidR="00A45B97">
        <w:rPr>
          <w:rFonts w:eastAsia="Abadi Extra Light" w:cs="Abadi Extra Light"/>
          <w:sz w:val="20"/>
          <w:szCs w:val="20"/>
          <w:lang w:val="en-GB"/>
        </w:rPr>
        <w:t xml:space="preserve">mobilization </w:t>
      </w:r>
      <w:r>
        <w:rPr>
          <w:rFonts w:eastAsia="Abadi Extra Light" w:cs="Abadi Extra Light"/>
          <w:sz w:val="20"/>
          <w:szCs w:val="20"/>
          <w:lang w:val="en-GB"/>
        </w:rPr>
        <w:t>(DRM) for key and vulnerable communities CSOs in order to</w:t>
      </w:r>
      <w:r>
        <w:rPr>
          <w:rFonts w:eastAsia="Abadi Extra Light" w:cs="Abadi Extra Light"/>
          <w:sz w:val="20"/>
          <w:szCs w:val="20"/>
        </w:rPr>
        <w:t xml:space="preserve"> </w:t>
      </w:r>
      <w:r>
        <w:rPr>
          <w:rFonts w:eastAsia="Abadi Extra Light" w:cs="Abadi Extra Light"/>
          <w:sz w:val="20"/>
          <w:szCs w:val="20"/>
          <w:lang w:val="en-GB"/>
        </w:rPr>
        <w:t xml:space="preserve">strengthen their knowledge and technical capacity on healthcare financing advocacy and DRM.  </w:t>
      </w:r>
    </w:p>
    <w:p w14:paraId="00FC8820" w14:textId="77777777" w:rsidR="00086021" w:rsidRDefault="009E19AB" w:rsidP="00C80431">
      <w:pPr>
        <w:pStyle w:val="BodyText"/>
        <w:jc w:val="both"/>
        <w:rPr>
          <w:sz w:val="20"/>
          <w:szCs w:val="20"/>
        </w:rPr>
      </w:pPr>
      <w:r>
        <w:rPr>
          <w:rFonts w:eastAsia="Abadi Extra Light" w:cs="Abadi Extra Light"/>
          <w:sz w:val="20"/>
          <w:szCs w:val="20"/>
        </w:rPr>
        <w:t xml:space="preserve">This analysis drew on both primary and secondary sources of information. Secondary data was obtained through desk review of published and gray literature. Primary data was collected through in-depth interviews (IDIs) with stakeholders within the government health financing space as well as CSO stakeholders involved with KPs and AGYW. Specific respondents were purposively selected based on their knowledge and experience in health financing, budget advocacy and KP and AGYW issues. Qualitative data analysis was done using thematic framework approach with assistance of NVivo software version 10 (QSR International) to organize and sort the data. Quantitative data analysis was done using STATA and Microsoft Excel. </w:t>
      </w:r>
      <w:r>
        <w:rPr>
          <w:rFonts w:eastAsia="Abadi Extra Light" w:cs="Abadi Extra Light"/>
          <w:bCs/>
          <w:sz w:val="20"/>
          <w:szCs w:val="20"/>
        </w:rPr>
        <w:t>Both quantitative and qualitative data were integrated during data interpretation.</w:t>
      </w:r>
    </w:p>
    <w:p w14:paraId="72FEEE5E" w14:textId="77777777" w:rsidR="00086021" w:rsidRDefault="009E19AB" w:rsidP="00C80431">
      <w:pPr>
        <w:pStyle w:val="BodyText"/>
        <w:jc w:val="both"/>
        <w:rPr>
          <w:sz w:val="20"/>
          <w:szCs w:val="20"/>
        </w:rPr>
      </w:pPr>
      <w:r>
        <w:rPr>
          <w:sz w:val="20"/>
          <w:szCs w:val="20"/>
          <w:lang w:val="en-GB"/>
        </w:rPr>
        <w:t xml:space="preserve">Findings </w:t>
      </w:r>
      <w:r>
        <w:rPr>
          <w:sz w:val="20"/>
          <w:szCs w:val="20"/>
        </w:rPr>
        <w:t>indicated that donor financing, which has been significant for KP and AGYW groups, is on a downward trend, with increased call for government financing of healthcare. This demands for increased DRM and increased budget advocacy for KP and AGYW groups. Increased DRM can be achieved by increasing the fiscal space for health through increased tax revenues, improved budget prioritization for health and improved technical efficiency. There has been increased engagement of KP and AGYW groups in resource allocation which has improved accountability</w:t>
      </w:r>
      <w:r>
        <w:rPr>
          <w:rFonts w:eastAsia="Arial" w:cs="Arial"/>
          <w:sz w:val="20"/>
          <w:szCs w:val="20"/>
        </w:rPr>
        <w:t xml:space="preserve"> </w:t>
      </w:r>
      <w:r>
        <w:rPr>
          <w:sz w:val="20"/>
          <w:szCs w:val="20"/>
        </w:rPr>
        <w:t xml:space="preserve">within the Global Fund KP allocations. This has led to KP groups being directly funded to implement KP programs. Challenges to effective budget advocacy by KP and AGYW groups include lack of information and knowledge on legislative and budgeting processes, criminalization of KPs, information asymmetry between various stakeholders, limited time for budget negotiations, low </w:t>
      </w:r>
      <w:proofErr w:type="gramStart"/>
      <w:r>
        <w:rPr>
          <w:sz w:val="20"/>
          <w:szCs w:val="20"/>
        </w:rPr>
        <w:t>legislative</w:t>
      </w:r>
      <w:proofErr w:type="gramEnd"/>
      <w:r>
        <w:rPr>
          <w:sz w:val="20"/>
          <w:szCs w:val="20"/>
        </w:rPr>
        <w:t xml:space="preserve"> and capacity to analyze budgets at county and national level, delays in disbursements of approved budgets leading to frequent stock outs of commodities and weak and fragmented data systems for KP and AGYW groups. </w:t>
      </w:r>
    </w:p>
    <w:p w14:paraId="390B7593" w14:textId="7B8BA021" w:rsidR="00B30196" w:rsidRDefault="009E19AB" w:rsidP="00C80431">
      <w:pPr>
        <w:pStyle w:val="BodyText"/>
        <w:jc w:val="both"/>
        <w:rPr>
          <w:rFonts w:eastAsia="Abadi Extra Light" w:cs="Abadi Extra Light"/>
          <w:sz w:val="20"/>
          <w:szCs w:val="20"/>
        </w:rPr>
      </w:pPr>
      <w:r>
        <w:rPr>
          <w:sz w:val="20"/>
          <w:szCs w:val="20"/>
        </w:rPr>
        <w:t>The high-level political commitment to the UHC agenda presents an opportunity for inclusivity of KPs and AGYW in strengthening DRM and budget advocacy. Integration of the HIV investment fund within the UHC agenda would ensure effective pooling for KPs and AGYW while reducing fragmentation of available pooling mechanisms.</w:t>
      </w:r>
      <w:r>
        <w:rPr>
          <w:rFonts w:eastAsia="SimSun" w:cs="Times New Roman"/>
          <w:sz w:val="20"/>
          <w:szCs w:val="20"/>
        </w:rPr>
        <w:t xml:space="preserve"> Engagement of CSOs and private health providers in the purchasing of commodities for HIV and KP services would improve access to these services by KPs and AGYW. Sustained advocacy for increased visibility and prioritization of KP and AGYWs agenda in the policy environment and capacity building of KPs and AGYW on health financing, budgeting processes, equity and accountability will</w:t>
      </w:r>
      <w:r>
        <w:rPr>
          <w:rFonts w:eastAsia="Abadi Extra Light" w:cs="Abadi Extra Light"/>
          <w:sz w:val="20"/>
          <w:szCs w:val="20"/>
        </w:rPr>
        <w:t xml:space="preserve"> ensure specific needs of the priority populations are not left out in the UHC agenda.</w:t>
      </w:r>
    </w:p>
    <w:p w14:paraId="368AFB1D" w14:textId="77777777" w:rsidR="00B30196" w:rsidRDefault="00B30196">
      <w:pPr>
        <w:rPr>
          <w:rFonts w:eastAsia="Abadi Extra Light" w:cs="Abadi Extra Light"/>
          <w:sz w:val="20"/>
          <w:szCs w:val="20"/>
        </w:rPr>
      </w:pPr>
      <w:r>
        <w:rPr>
          <w:rFonts w:eastAsia="Abadi Extra Light" w:cs="Abadi Extra Light"/>
          <w:sz w:val="20"/>
          <w:szCs w:val="20"/>
        </w:rPr>
        <w:br w:type="page"/>
      </w:r>
    </w:p>
    <w:p w14:paraId="0DD33B03" w14:textId="77777777" w:rsidR="00086021" w:rsidRDefault="00086021" w:rsidP="00C80431">
      <w:pPr>
        <w:pStyle w:val="BodyText"/>
        <w:jc w:val="both"/>
        <w:rPr>
          <w:sz w:val="20"/>
          <w:szCs w:val="20"/>
        </w:rPr>
      </w:pPr>
    </w:p>
    <w:p w14:paraId="07AA5D4D" w14:textId="77777777" w:rsidR="00086021" w:rsidRDefault="009E19AB" w:rsidP="00C80431">
      <w:pPr>
        <w:pStyle w:val="Text"/>
        <w:jc w:val="both"/>
        <w:rPr>
          <w:sz w:val="16"/>
          <w:szCs w:val="16"/>
        </w:rPr>
      </w:pPr>
      <w:r>
        <w:br w:type="page"/>
      </w:r>
    </w:p>
    <w:p w14:paraId="2DC9FEBB" w14:textId="4609D93B" w:rsidR="00086021" w:rsidRDefault="009E19AB">
      <w:pPr>
        <w:pStyle w:val="Heading2"/>
      </w:pPr>
      <w:bookmarkStart w:id="1" w:name="_Toc56997929"/>
      <w:r>
        <w:lastRenderedPageBreak/>
        <w:t>1. Introduction</w:t>
      </w:r>
      <w:bookmarkEnd w:id="1"/>
    </w:p>
    <w:p w14:paraId="02DF76B1" w14:textId="77777777" w:rsidR="00C80431" w:rsidRPr="00C80431" w:rsidRDefault="00C80431" w:rsidP="00C80431">
      <w:pPr>
        <w:rPr>
          <w:lang w:val="nl-NL"/>
        </w:rPr>
      </w:pPr>
    </w:p>
    <w:p w14:paraId="393E28C5" w14:textId="77777777" w:rsidR="00086021" w:rsidRDefault="009E19AB">
      <w:pPr>
        <w:pStyle w:val="Heading3"/>
      </w:pPr>
      <w:bookmarkStart w:id="2" w:name="_Toc56997930"/>
      <w:r>
        <w:t>1.1. Background</w:t>
      </w:r>
      <w:bookmarkEnd w:id="2"/>
    </w:p>
    <w:p w14:paraId="20AEE96E" w14:textId="77777777" w:rsidR="00086021" w:rsidRDefault="00086021"/>
    <w:p w14:paraId="713DEEF5" w14:textId="77777777" w:rsidR="00086021" w:rsidRDefault="009E19AB" w:rsidP="00C80431">
      <w:pPr>
        <w:pStyle w:val="BodyText"/>
        <w:jc w:val="both"/>
        <w:rPr>
          <w:sz w:val="20"/>
          <w:szCs w:val="20"/>
        </w:rPr>
      </w:pPr>
      <w:r>
        <w:rPr>
          <w:rFonts w:eastAsia="Abadi Extra Light" w:cs="Abadi Extra Light"/>
          <w:sz w:val="20"/>
          <w:szCs w:val="20"/>
        </w:rPr>
        <w:t>Human rights of people living with HIV and key populations (KP) most affected by HIV are often violated, with negative implications for health outcomes (Williamson, Wondergem, &amp; Amenyah, 2014). In 2011, the United Nations General Assembly, through its political declaration on HIV, affirmed that its members shall “create enabling legal, social and policy frameworks to eliminate stigma, discrimination and violence related to HIV and KPs. Those most affected by HIV include KP and adolescent girls and young women (AGYW). KPs are defined groups who due to specific higher-risk behaviors are at increased risk of HIV, irrespective of the epidemic type or local context. They include sex workers, people who inject drugs, men who have sex with men (MSM), lesbians and transgender people and people in prisons and other closed settings.</w:t>
      </w:r>
      <w:r>
        <w:rPr>
          <w:sz w:val="20"/>
          <w:szCs w:val="20"/>
        </w:rPr>
        <w:t xml:space="preserve"> Evidence suggests that </w:t>
      </w:r>
      <w:r>
        <w:rPr>
          <w:rFonts w:eastAsia="Abadi Extra Light" w:cs="Abadi Extra Light"/>
          <w:sz w:val="20"/>
          <w:szCs w:val="20"/>
        </w:rPr>
        <w:t>younger AGYW (aged 15-19 years) have a higher proportion of recent infections among new HIV diagnoses (PEPFAR, 2020).</w:t>
      </w:r>
    </w:p>
    <w:p w14:paraId="70053093" w14:textId="77777777" w:rsidR="00086021" w:rsidRDefault="009E19AB" w:rsidP="00C80431">
      <w:pPr>
        <w:pStyle w:val="BodyText"/>
        <w:jc w:val="both"/>
        <w:rPr>
          <w:sz w:val="20"/>
          <w:szCs w:val="20"/>
        </w:rPr>
      </w:pPr>
      <w:r>
        <w:rPr>
          <w:sz w:val="20"/>
          <w:szCs w:val="20"/>
        </w:rPr>
        <w:t>While universal health coverage (UHC) is about making all people access quality healthcare that they need without suffering financial hardship, the challenge has been to ensure all people, including key populations, are not left out in the health financing considerations. Kenya has made a commitment to achieve UHC by 2022. The country’s political will for UHC is represented by its inclusion as one of the “Big Four” government agenda for sustainable development launched in December 2017. This current high-level political commitment presents an opportunity for Kenya to fast-track progress toward UHC.</w:t>
      </w:r>
    </w:p>
    <w:p w14:paraId="1225761C" w14:textId="4F97B4C6" w:rsidR="00086021" w:rsidRDefault="009E19AB" w:rsidP="00C80431">
      <w:pPr>
        <w:pStyle w:val="BodyText"/>
        <w:jc w:val="both"/>
        <w:rPr>
          <w:sz w:val="20"/>
          <w:szCs w:val="20"/>
        </w:rPr>
      </w:pPr>
      <w:r>
        <w:rPr>
          <w:sz w:val="20"/>
          <w:szCs w:val="20"/>
        </w:rPr>
        <w:t xml:space="preserve">Presently, most of the low- and middle-income countries (LMICs) mobilize only 13 percent of their Gross Domestic Product (GDP) on average, compared to the 20 percent of GDP that the United Nations estimates would be required to achieve the sustainable development goals (SDGs) (OECD, 2015). Consequently, The Addis Ababa Action Agenda renewed a global focus on domestic resource </w:t>
      </w:r>
      <w:r w:rsidR="00A45B97">
        <w:rPr>
          <w:sz w:val="20"/>
          <w:szCs w:val="20"/>
        </w:rPr>
        <w:t xml:space="preserve">mobilization </w:t>
      </w:r>
      <w:r>
        <w:rPr>
          <w:sz w:val="20"/>
          <w:szCs w:val="20"/>
        </w:rPr>
        <w:t xml:space="preserve">(DRM) as a cornerstone for attaining the Sustainable Development Goals (ATI, 2015) and is currently a specific SDG target 17.; “strengthening domestic resource </w:t>
      </w:r>
      <w:proofErr w:type="spellStart"/>
      <w:r w:rsidR="00C80431">
        <w:rPr>
          <w:sz w:val="20"/>
          <w:szCs w:val="20"/>
        </w:rPr>
        <w:t>mobilisation</w:t>
      </w:r>
      <w:proofErr w:type="spellEnd"/>
      <w:r>
        <w:rPr>
          <w:sz w:val="20"/>
          <w:szCs w:val="20"/>
        </w:rPr>
        <w:t>, including through international support to developing countries, to improve capacity for tax and other revenue collection.”</w:t>
      </w:r>
    </w:p>
    <w:p w14:paraId="4230C9A4" w14:textId="77777777" w:rsidR="00086021" w:rsidRDefault="009E19AB" w:rsidP="00C80431">
      <w:pPr>
        <w:pStyle w:val="BodyText"/>
        <w:jc w:val="both"/>
        <w:rPr>
          <w:sz w:val="20"/>
          <w:szCs w:val="20"/>
        </w:rPr>
      </w:pPr>
      <w:r>
        <w:rPr>
          <w:sz w:val="20"/>
          <w:szCs w:val="20"/>
        </w:rPr>
        <w:t>Interventions for KPs and AGYWs in many LMICs remain dependent on external donor funding and have yet to transition into complete country-owned programs, either through a ministry of health or a sustainably funded civil society partner (Gotsadze et al, 2019). Inadequate financing for HIV prevention programming for KPs has been cited as a primary reason for inequity in provision of HIV prevention services for KPs in some LMICs (Djomand, Quaye, &amp; Sullivan, 2014).</w:t>
      </w:r>
    </w:p>
    <w:p w14:paraId="64B47EA1" w14:textId="77777777" w:rsidR="00086021" w:rsidRDefault="009E19AB" w:rsidP="00C80431">
      <w:pPr>
        <w:pStyle w:val="BodyText"/>
        <w:jc w:val="both"/>
        <w:rPr>
          <w:sz w:val="20"/>
          <w:szCs w:val="20"/>
        </w:rPr>
      </w:pPr>
      <w:bookmarkStart w:id="3" w:name="_2s8eyo1"/>
      <w:bookmarkEnd w:id="3"/>
      <w:r>
        <w:rPr>
          <w:sz w:val="20"/>
          <w:szCs w:val="20"/>
        </w:rPr>
        <w:t>Evidence suggests that if national governments support civil society activity, this action can have a positive effect on inequity of health financing policies and implementation programs (Blas, et al., 2008). Civil Society Organizations (CSOs) have played a major role in the advocacy of HIV and AIDs since its discovery in Kenya in the early 1980s (Vogus &amp; Graff, 2015). However, documented data on the role and impact of CSO’s on domestic health financing advocacy for KPs and AGYW remains scanty.</w:t>
      </w:r>
    </w:p>
    <w:p w14:paraId="388C4690" w14:textId="287B0CCD" w:rsidR="009E19AB" w:rsidRDefault="009E19AB" w:rsidP="00C80431">
      <w:pPr>
        <w:pStyle w:val="BodyText"/>
        <w:jc w:val="both"/>
        <w:rPr>
          <w:rFonts w:eastAsia="Abadi Extra Light" w:cs="Abadi Extra Light"/>
          <w:sz w:val="20"/>
          <w:szCs w:val="20"/>
          <w:lang w:val="en-GB"/>
        </w:rPr>
      </w:pPr>
      <w:r>
        <w:rPr>
          <w:rFonts w:eastAsia="Abadi Extra Light" w:cs="Abadi Extra Light"/>
          <w:sz w:val="20"/>
          <w:szCs w:val="20"/>
        </w:rPr>
        <w:t xml:space="preserve">The objective of this situational analysis is to </w:t>
      </w:r>
      <w:r>
        <w:rPr>
          <w:rFonts w:eastAsia="Abadi Extra Light" w:cs="Abadi Extra Light"/>
          <w:sz w:val="20"/>
          <w:szCs w:val="20"/>
          <w:lang w:val="en-GB"/>
        </w:rPr>
        <w:t xml:space="preserve">generate evidence on healthcare financing and domestic resource </w:t>
      </w:r>
      <w:r w:rsidR="00A45B97">
        <w:rPr>
          <w:rFonts w:eastAsia="Abadi Extra Light" w:cs="Abadi Extra Light"/>
          <w:sz w:val="20"/>
          <w:szCs w:val="20"/>
          <w:lang w:val="en-GB"/>
        </w:rPr>
        <w:t xml:space="preserve">mobilization </w:t>
      </w:r>
      <w:r>
        <w:rPr>
          <w:rFonts w:eastAsia="Abadi Extra Light" w:cs="Abadi Extra Light"/>
          <w:sz w:val="20"/>
          <w:szCs w:val="20"/>
          <w:lang w:val="en-GB"/>
        </w:rPr>
        <w:t>including KP and AGYW programme financing in Kenya and Africa.</w:t>
      </w:r>
      <w:r>
        <w:rPr>
          <w:rFonts w:eastAsia="Abadi Extra Light" w:cs="Abadi Extra Light"/>
          <w:sz w:val="20"/>
          <w:szCs w:val="20"/>
        </w:rPr>
        <w:t xml:space="preserve"> Thereafter, </w:t>
      </w:r>
      <w:r>
        <w:rPr>
          <w:rFonts w:eastAsia="Abadi Extra Light" w:cs="Abadi Extra Light"/>
          <w:sz w:val="20"/>
          <w:szCs w:val="20"/>
          <w:lang w:val="en-GB"/>
        </w:rPr>
        <w:t xml:space="preserve">develop a contextualized Key and Vulnerable communities CSOs advocacy training manual on Healthcare Financing and Domestic Resource </w:t>
      </w:r>
      <w:r w:rsidR="00A45B97">
        <w:rPr>
          <w:rFonts w:eastAsia="Abadi Extra Light" w:cs="Abadi Extra Light"/>
          <w:sz w:val="20"/>
          <w:szCs w:val="20"/>
          <w:lang w:val="en-GB"/>
        </w:rPr>
        <w:t xml:space="preserve">Mobilization </w:t>
      </w:r>
      <w:r>
        <w:rPr>
          <w:rFonts w:eastAsia="Abadi Extra Light" w:cs="Abadi Extra Light"/>
          <w:sz w:val="20"/>
          <w:szCs w:val="20"/>
        </w:rPr>
        <w:t xml:space="preserve">with the aim of </w:t>
      </w:r>
      <w:r>
        <w:rPr>
          <w:rFonts w:eastAsia="Abadi Extra Light" w:cs="Abadi Extra Light"/>
          <w:sz w:val="20"/>
          <w:szCs w:val="20"/>
          <w:lang w:val="en-GB"/>
        </w:rPr>
        <w:t xml:space="preserve">strengthening the knowledge and technical capacity of KP and AGYW civil society on Healthcare financing advocacy and Domestic Resource Mobilisation. </w:t>
      </w:r>
    </w:p>
    <w:p w14:paraId="44488BDB" w14:textId="2E2A2561" w:rsidR="00BE546C" w:rsidRDefault="00BE546C" w:rsidP="00C80431">
      <w:pPr>
        <w:pStyle w:val="BodyText"/>
        <w:jc w:val="both"/>
        <w:rPr>
          <w:rFonts w:eastAsia="Abadi Extra Light" w:cs="Abadi Extra Light"/>
          <w:sz w:val="20"/>
          <w:szCs w:val="20"/>
          <w:lang w:val="en-GB"/>
        </w:rPr>
      </w:pPr>
    </w:p>
    <w:p w14:paraId="21E8C565" w14:textId="1B779853" w:rsidR="00BE546C" w:rsidRDefault="00BE546C" w:rsidP="00C80431">
      <w:pPr>
        <w:pStyle w:val="BodyText"/>
        <w:jc w:val="both"/>
        <w:rPr>
          <w:rFonts w:eastAsia="Abadi Extra Light" w:cs="Abadi Extra Light"/>
          <w:sz w:val="20"/>
          <w:szCs w:val="20"/>
          <w:lang w:val="en-GB"/>
        </w:rPr>
      </w:pPr>
    </w:p>
    <w:p w14:paraId="561B7A93" w14:textId="77777777" w:rsidR="00BE546C" w:rsidRPr="00C80431" w:rsidRDefault="00BE546C" w:rsidP="00C80431">
      <w:pPr>
        <w:pStyle w:val="BodyText"/>
        <w:jc w:val="both"/>
        <w:rPr>
          <w:rFonts w:eastAsia="Abadi Extra Light" w:cs="Abadi Extra Light"/>
          <w:sz w:val="20"/>
          <w:szCs w:val="20"/>
          <w:lang w:val="en-GB"/>
        </w:rPr>
      </w:pPr>
    </w:p>
    <w:p w14:paraId="4BA5CE10" w14:textId="77777777" w:rsidR="00086021" w:rsidRDefault="009E19AB">
      <w:pPr>
        <w:pStyle w:val="Heading3"/>
      </w:pPr>
      <w:bookmarkStart w:id="4" w:name="_Toc56997931"/>
      <w:r>
        <w:lastRenderedPageBreak/>
        <w:t>1.2. The Health System in Kenya</w:t>
      </w:r>
      <w:bookmarkEnd w:id="4"/>
      <w:r>
        <w:t xml:space="preserve"> </w:t>
      </w:r>
    </w:p>
    <w:p w14:paraId="32DF20BE" w14:textId="77777777" w:rsidR="00086021" w:rsidRDefault="00086021"/>
    <w:p w14:paraId="34F7E633" w14:textId="48AF8204" w:rsidR="00086021" w:rsidRDefault="009E19AB" w:rsidP="00C80431">
      <w:pPr>
        <w:pStyle w:val="BodyText"/>
        <w:jc w:val="both"/>
        <w:rPr>
          <w:rFonts w:eastAsia="Abadi Extra Light" w:cs="Arial"/>
          <w:color w:val="333333"/>
          <w:sz w:val="20"/>
          <w:szCs w:val="20"/>
        </w:rPr>
      </w:pPr>
      <w:r w:rsidRPr="00C80431">
        <w:rPr>
          <w:rFonts w:cs="Arial"/>
        </w:rPr>
        <w:t xml:space="preserve">Kenya has a mixed health system with a dominant public health sector bolstered by a vibrant private sector according to the Kenya Household Health Expenditure and Utilization Survey (KHHEUS) of 2018. Kenya, like other LMICs, has had a significant </w:t>
      </w:r>
      <w:r w:rsidRPr="00C80431">
        <w:rPr>
          <w:rFonts w:eastAsia="Abadi Extra Light" w:cs="Arial"/>
        </w:rPr>
        <w:t xml:space="preserve">transition in its disease burden profile </w:t>
      </w:r>
      <w:r w:rsidRPr="00C80431">
        <w:rPr>
          <w:rFonts w:eastAsia="Abadi Extra Light" w:cs="Arial"/>
          <w:sz w:val="20"/>
          <w:szCs w:val="20"/>
        </w:rPr>
        <w:t>from the predominance of communicable diseases to a rise and coexistence of non-communicable diseases hence a significant dual burden of disease (Achoki et al, 2019). Unfortunately, the burden of disease and death lies heaviest on vulnerable groups who are least able to afford medical treatment and preventive measures (Kushitor MK &amp; Boatemaa S, 2018). According to the Institute of Health Metrics, communicable diseases (with HIV/AIDS leading) are the top causes of mortality in Kenya as shown in Figure 1. Noteworthy, the burden of HIV/AIDS among key populations is disproportionately high compared with that in the general population in most LMICs (Richard et al 2012).</w:t>
      </w:r>
      <w:r w:rsidRPr="00C80431">
        <w:rPr>
          <w:rFonts w:eastAsia="Abadi Extra Light" w:cs="Arial"/>
          <w:color w:val="333333"/>
          <w:sz w:val="20"/>
          <w:szCs w:val="20"/>
        </w:rPr>
        <w:t xml:space="preserve"> </w:t>
      </w:r>
    </w:p>
    <w:p w14:paraId="101BA940" w14:textId="77777777" w:rsidR="00C80431" w:rsidRPr="00C80431" w:rsidRDefault="00C80431" w:rsidP="00C80431">
      <w:pPr>
        <w:pStyle w:val="BodyText"/>
        <w:jc w:val="both"/>
        <w:rPr>
          <w:rFonts w:cs="Arial"/>
        </w:rPr>
      </w:pPr>
    </w:p>
    <w:p w14:paraId="25470FD1" w14:textId="77777777" w:rsidR="00086021" w:rsidRPr="00FC49F8" w:rsidRDefault="009E19AB">
      <w:pPr>
        <w:pStyle w:val="Figure"/>
        <w:rPr>
          <w:b/>
          <w:bCs/>
          <w:sz w:val="18"/>
          <w:szCs w:val="18"/>
        </w:rPr>
      </w:pPr>
      <w:r w:rsidRPr="00FC49F8">
        <w:rPr>
          <w:b/>
          <w:bCs/>
          <w:sz w:val="18"/>
          <w:szCs w:val="18"/>
        </w:rPr>
        <w:t>Figure 1: Top 10 causes of death in Kenya in 2017 and percent change, 2007-2017 for all ages</w:t>
      </w:r>
    </w:p>
    <w:p w14:paraId="32367DDF" w14:textId="77777777" w:rsidR="00086021" w:rsidRDefault="009E19AB">
      <w:pPr>
        <w:pStyle w:val="Figure"/>
      </w:pPr>
      <w:r>
        <w:rPr>
          <w:noProof/>
        </w:rPr>
        <w:drawing>
          <wp:inline distT="0" distB="0" distL="0" distR="0" wp14:anchorId="2B4502EA" wp14:editId="0F0CDE6B">
            <wp:extent cx="5386703" cy="2550795"/>
            <wp:effectExtent l="0" t="0" r="0" b="0"/>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4">
                      <a:extLst>
                        <a:ext uri="{28A0092B-C50C-407E-A947-70E740481C1C}">
                          <a14:useLocalDpi xmlns:a14="http://schemas.microsoft.com/office/drawing/2010/main" val="0"/>
                        </a:ext>
                      </a:extLst>
                    </a:blip>
                    <a:srcRect l="38794" t="41811" r="17879" b="29267"/>
                    <a:stretch>
                      <a:fillRect/>
                    </a:stretch>
                  </pic:blipFill>
                  <pic:spPr>
                    <a:xfrm>
                      <a:off x="0" y="0"/>
                      <a:ext cx="5386703" cy="2550795"/>
                    </a:xfrm>
                    <a:prstGeom prst="rect">
                      <a:avLst/>
                    </a:prstGeom>
                  </pic:spPr>
                </pic:pic>
              </a:graphicData>
            </a:graphic>
          </wp:inline>
        </w:drawing>
      </w:r>
    </w:p>
    <w:p w14:paraId="6F87AFA5" w14:textId="77777777" w:rsidR="00086021" w:rsidRDefault="009E19AB">
      <w:pPr>
        <w:pStyle w:val="BodyText"/>
        <w:rPr>
          <w:i/>
          <w:iCs/>
          <w:sz w:val="16"/>
          <w:szCs w:val="16"/>
        </w:rPr>
      </w:pPr>
      <w:r>
        <w:rPr>
          <w:i/>
          <w:iCs/>
          <w:sz w:val="16"/>
          <w:szCs w:val="16"/>
        </w:rPr>
        <w:t>Source: Adapted from IHME Website</w:t>
      </w:r>
    </w:p>
    <w:p w14:paraId="436A52C3" w14:textId="77777777" w:rsidR="00086021" w:rsidRDefault="009E19AB" w:rsidP="00C80431">
      <w:pPr>
        <w:pStyle w:val="BodyText"/>
        <w:jc w:val="both"/>
        <w:rPr>
          <w:sz w:val="20"/>
          <w:szCs w:val="20"/>
        </w:rPr>
      </w:pPr>
      <w:r>
        <w:rPr>
          <w:sz w:val="20"/>
          <w:szCs w:val="20"/>
        </w:rPr>
        <w:t>The new Constitution of 2010 created a devolved system of governance that consists of the National Government and 47 County (sub-national) Governments. Under the new dispensation, health is a devolved function that is shared across the two levels. The responsibility for health service delivery is assigned to the Counties while policy, quality assurance, capacity building and management of national referral hospitals remain the national government’s responsibility as described in the Fourth Schedule of the Constitution of Kenya, 2010.</w:t>
      </w:r>
    </w:p>
    <w:p w14:paraId="60F5EC90" w14:textId="77777777" w:rsidR="00086021" w:rsidRDefault="00086021" w:rsidP="00C80431">
      <w:pPr>
        <w:pStyle w:val="BodyText"/>
        <w:jc w:val="both"/>
        <w:rPr>
          <w:sz w:val="20"/>
          <w:szCs w:val="20"/>
        </w:rPr>
      </w:pPr>
    </w:p>
    <w:p w14:paraId="55813577" w14:textId="77777777" w:rsidR="00086021" w:rsidRDefault="009E19AB" w:rsidP="00C80431">
      <w:pPr>
        <w:pStyle w:val="BodyText"/>
        <w:ind w:left="540" w:right="360"/>
        <w:jc w:val="both"/>
        <w:rPr>
          <w:b/>
          <w:bCs/>
          <w:sz w:val="24"/>
        </w:rPr>
      </w:pPr>
      <w:r>
        <w:rPr>
          <w:b/>
          <w:bCs/>
          <w:sz w:val="24"/>
        </w:rPr>
        <w:t>Health Financing Reforms in Kenya</w:t>
      </w:r>
    </w:p>
    <w:p w14:paraId="58ECF84F" w14:textId="77777777" w:rsidR="00086021" w:rsidRDefault="009E19AB" w:rsidP="00C80431">
      <w:pPr>
        <w:pStyle w:val="BodyText"/>
        <w:ind w:left="540" w:right="360"/>
        <w:jc w:val="both"/>
        <w:rPr>
          <w:sz w:val="20"/>
          <w:szCs w:val="20"/>
        </w:rPr>
      </w:pPr>
      <w:r>
        <w:rPr>
          <w:rFonts w:eastAsia="Abadi Extra Light" w:cs="Abadi Extra Light"/>
          <w:sz w:val="20"/>
          <w:szCs w:val="20"/>
        </w:rPr>
        <w:t xml:space="preserve">Since independence in 1963, many health financing policy changes have occurred as highlighted in </w:t>
      </w:r>
      <w:r>
        <w:rPr>
          <w:rFonts w:eastAsia="Abadi Extra Light" w:cs="Abadi Extra Light"/>
          <w:i/>
          <w:iCs/>
          <w:sz w:val="20"/>
          <w:szCs w:val="20"/>
        </w:rPr>
        <w:t>Annex 1.</w:t>
      </w:r>
      <w:r>
        <w:rPr>
          <w:rFonts w:eastAsia="Abadi Extra Light" w:cs="Abadi Extra Light"/>
          <w:sz w:val="20"/>
          <w:szCs w:val="20"/>
        </w:rPr>
        <w:t xml:space="preserve"> In recent years, Kenya has experienced a series of health financing reforms aimed at advancing financial risk protection against different segments of the population. While some of these reforms have indirectly targeted AGYW, for example through EduAfya insurance for all students, none of these reforms have specifically targeted the key populations.</w:t>
      </w:r>
    </w:p>
    <w:p w14:paraId="15FEE5FD" w14:textId="77777777" w:rsidR="00086021" w:rsidRDefault="00086021">
      <w:pPr>
        <w:pStyle w:val="BodyText"/>
        <w:ind w:left="540" w:right="360"/>
        <w:rPr>
          <w:rFonts w:eastAsia="Abadi Extra Light" w:cs="Abadi Extra Light"/>
          <w:sz w:val="20"/>
          <w:szCs w:val="20"/>
        </w:rPr>
      </w:pPr>
    </w:p>
    <w:p w14:paraId="6EC9D4FA" w14:textId="77777777" w:rsidR="00086021" w:rsidRDefault="00086021">
      <w:pPr>
        <w:pStyle w:val="BodyText"/>
        <w:rPr>
          <w:rFonts w:eastAsia="Abadi Extra Light" w:cs="Abadi Extra Light"/>
          <w:sz w:val="20"/>
          <w:szCs w:val="20"/>
        </w:rPr>
        <w:sectPr w:rsidR="00086021" w:rsidSect="00C80431">
          <w:headerReference w:type="default" r:id="rId15"/>
          <w:footerReference w:type="default" r:id="rId16"/>
          <w:headerReference w:type="first" r:id="rId17"/>
          <w:footerReference w:type="first" r:id="rId18"/>
          <w:pgSz w:w="11909" w:h="16834"/>
          <w:pgMar w:top="1008" w:right="1701" w:bottom="1008" w:left="1701" w:header="0" w:footer="170" w:gutter="0"/>
          <w:cols w:space="720"/>
          <w:formProt w:val="0"/>
          <w:titlePg/>
          <w:docGrid w:linePitch="360"/>
        </w:sectPr>
      </w:pPr>
    </w:p>
    <w:p w14:paraId="4FFC7241" w14:textId="77777777" w:rsidR="00086021" w:rsidRDefault="009E19AB">
      <w:pPr>
        <w:pStyle w:val="Heading2"/>
      </w:pPr>
      <w:bookmarkStart w:id="5" w:name="_Toc56997932"/>
      <w:r>
        <w:lastRenderedPageBreak/>
        <w:t>2. Methodology</w:t>
      </w:r>
      <w:bookmarkEnd w:id="5"/>
    </w:p>
    <w:p w14:paraId="22B81622" w14:textId="77777777" w:rsidR="00086021" w:rsidRDefault="00086021"/>
    <w:p w14:paraId="0B35ED1F" w14:textId="77777777" w:rsidR="00086021" w:rsidRDefault="009E19AB" w:rsidP="00C80431">
      <w:pPr>
        <w:pStyle w:val="BodyText"/>
        <w:jc w:val="both"/>
        <w:rPr>
          <w:sz w:val="20"/>
          <w:szCs w:val="20"/>
        </w:rPr>
      </w:pPr>
      <w:r>
        <w:rPr>
          <w:sz w:val="20"/>
          <w:szCs w:val="20"/>
        </w:rPr>
        <w:t xml:space="preserve">This analysis drew on both primary and secondary sources of information. Secondary data was obtained by conducting a desk review. The team reviewed publicly available government documentation about the health financing systems in Kenya, CSO engagement (locally, </w:t>
      </w:r>
      <w:proofErr w:type="gramStart"/>
      <w:r>
        <w:rPr>
          <w:sz w:val="20"/>
          <w:szCs w:val="20"/>
        </w:rPr>
        <w:t>regionally</w:t>
      </w:r>
      <w:proofErr w:type="gramEnd"/>
      <w:r>
        <w:rPr>
          <w:sz w:val="20"/>
          <w:szCs w:val="20"/>
        </w:rPr>
        <w:t xml:space="preserve"> and globally) and interventions for KPs, AGYW and Persons Living With HIV/AIDS (PLWH). The data sources included; The Economic Survey 2020, Kenya Health Accounts 2015/16, KDHS 2014, Treasury MTEF Working Group Reports, Auditor General Reports, NASCOP and NACC reports, PEPFAR and Global Fund country reports and other published and gray literature. </w:t>
      </w:r>
    </w:p>
    <w:p w14:paraId="2ED67EC7" w14:textId="77777777" w:rsidR="00086021" w:rsidRDefault="009E19AB" w:rsidP="00C80431">
      <w:pPr>
        <w:pStyle w:val="BodyText"/>
        <w:jc w:val="both"/>
        <w:rPr>
          <w:sz w:val="20"/>
          <w:szCs w:val="20"/>
        </w:rPr>
      </w:pPr>
      <w:r>
        <w:rPr>
          <w:sz w:val="20"/>
          <w:szCs w:val="20"/>
        </w:rPr>
        <w:t xml:space="preserve">Primary data was collected through in-depth interviews (IDIs) with stakeholders within the government health financing space as well as CSO stakeholders involved with KP and AGYW. Specific respondents were purposively selected based on their knowledge and experience in health financing, budget advocacy and KP and AGYW issues. The respondents are as summarized in (Annex 10). Informed consent was obtained before commencement of all IDIs, participation was voluntary and posed no more than minimal risk to the respondents. No personal questions were asked, and no vulnerable populations were involved. Data was collected between July and August 2020. </w:t>
      </w:r>
    </w:p>
    <w:p w14:paraId="75CA5AD4" w14:textId="5CBE836C" w:rsidR="00086021" w:rsidRDefault="009E19AB" w:rsidP="00C80431">
      <w:pPr>
        <w:pStyle w:val="BodyText"/>
        <w:jc w:val="both"/>
        <w:rPr>
          <w:sz w:val="20"/>
          <w:szCs w:val="20"/>
        </w:rPr>
      </w:pPr>
      <w:r>
        <w:rPr>
          <w:sz w:val="20"/>
          <w:szCs w:val="20"/>
        </w:rPr>
        <w:t xml:space="preserve">The key themes on health financing were guided by the health financing functions and intermediate goals as described by WHO </w:t>
      </w:r>
      <w:proofErr w:type="gramStart"/>
      <w:r>
        <w:rPr>
          <w:sz w:val="20"/>
          <w:szCs w:val="20"/>
        </w:rPr>
        <w:t>i.e.</w:t>
      </w:r>
      <w:proofErr w:type="gramEnd"/>
      <w:r>
        <w:rPr>
          <w:sz w:val="20"/>
          <w:szCs w:val="20"/>
        </w:rPr>
        <w:t xml:space="preserve"> Revenue raising, Pooling, Purchasing, Equity, Accountability and Efficiency (WHO, 2010). The themes on CSO engagement in advocacy were aligned to the Research and Policy in Development (RAPID) framework (Pollard and Court, 2005) as shown below. </w:t>
      </w:r>
    </w:p>
    <w:p w14:paraId="13C4B80E" w14:textId="77777777" w:rsidR="00FC49F8" w:rsidRDefault="00FC49F8" w:rsidP="00C80431">
      <w:pPr>
        <w:pStyle w:val="BodyText"/>
        <w:jc w:val="both"/>
        <w:rPr>
          <w:sz w:val="20"/>
          <w:szCs w:val="20"/>
        </w:rPr>
      </w:pPr>
    </w:p>
    <w:p w14:paraId="6F0B5C3E" w14:textId="77777777" w:rsidR="00086021" w:rsidRPr="00FC49F8" w:rsidRDefault="009E19AB">
      <w:pPr>
        <w:pStyle w:val="Figure"/>
        <w:rPr>
          <w:b/>
          <w:bCs/>
          <w:sz w:val="18"/>
          <w:szCs w:val="18"/>
        </w:rPr>
      </w:pPr>
      <w:r w:rsidRPr="00FC49F8">
        <w:rPr>
          <w:b/>
          <w:bCs/>
          <w:sz w:val="18"/>
          <w:szCs w:val="18"/>
        </w:rPr>
        <w:t>Figure 2: RAPID Framework adapted to CSO Policy Influence</w:t>
      </w:r>
    </w:p>
    <w:p w14:paraId="21DE9FA6" w14:textId="77777777" w:rsidR="00086021" w:rsidRDefault="009E19AB">
      <w:pPr>
        <w:pStyle w:val="Figure"/>
      </w:pPr>
      <w:r>
        <w:rPr>
          <w:noProof/>
        </w:rPr>
        <w:drawing>
          <wp:inline distT="0" distB="0" distL="0" distR="0" wp14:anchorId="01BD8D39" wp14:editId="1248665F">
            <wp:extent cx="3905250" cy="2393950"/>
            <wp:effectExtent l="0" t="0" r="0" b="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9">
                      <a:extLst>
                        <a:ext uri="{28A0092B-C50C-407E-A947-70E740481C1C}">
                          <a14:useLocalDpi xmlns:a14="http://schemas.microsoft.com/office/drawing/2010/main" val="0"/>
                        </a:ext>
                      </a:extLst>
                    </a:blip>
                    <a:srcRect l="5320" t="26708" r="60446" b="41808"/>
                    <a:stretch>
                      <a:fillRect/>
                    </a:stretch>
                  </pic:blipFill>
                  <pic:spPr>
                    <a:xfrm>
                      <a:off x="0" y="0"/>
                      <a:ext cx="3905250" cy="2393950"/>
                    </a:xfrm>
                    <a:prstGeom prst="rect">
                      <a:avLst/>
                    </a:prstGeom>
                  </pic:spPr>
                </pic:pic>
              </a:graphicData>
            </a:graphic>
          </wp:inline>
        </w:drawing>
      </w:r>
    </w:p>
    <w:p w14:paraId="749F7726" w14:textId="77777777" w:rsidR="00086021" w:rsidRDefault="009E19AB">
      <w:pPr>
        <w:pStyle w:val="BodyText"/>
        <w:rPr>
          <w:i/>
          <w:iCs/>
          <w:sz w:val="16"/>
          <w:szCs w:val="16"/>
        </w:rPr>
      </w:pPr>
      <w:r>
        <w:rPr>
          <w:i/>
          <w:iCs/>
          <w:sz w:val="16"/>
          <w:szCs w:val="16"/>
        </w:rPr>
        <w:t>Source: Pollard and Court, 2005</w:t>
      </w:r>
    </w:p>
    <w:p w14:paraId="24AAD076" w14:textId="77777777" w:rsidR="00086021" w:rsidRDefault="009E19AB" w:rsidP="00C80431">
      <w:pPr>
        <w:pStyle w:val="BodyText"/>
        <w:jc w:val="both"/>
        <w:rPr>
          <w:sz w:val="20"/>
          <w:szCs w:val="20"/>
        </w:rPr>
      </w:pPr>
      <w:r>
        <w:rPr>
          <w:sz w:val="20"/>
          <w:szCs w:val="20"/>
        </w:rPr>
        <w:t xml:space="preserve">Qualitative data analysis was done using thematic framework approach with assistance of NVivo software version 10 (QSR International) to organize and sort the data. De-identification of all study participants was done to ensure anonymity. Quantitative data analysis was done using STATA and Microsoft Excel and presented in the form of figures and tables. Findings have been organized around key themes related to the objectives of the study. </w:t>
      </w:r>
    </w:p>
    <w:p w14:paraId="480C08D2" w14:textId="77777777" w:rsidR="00086021" w:rsidRDefault="009E19AB" w:rsidP="00C80431">
      <w:pPr>
        <w:pStyle w:val="BodyText"/>
        <w:jc w:val="both"/>
        <w:rPr>
          <w:sz w:val="20"/>
          <w:szCs w:val="20"/>
        </w:rPr>
      </w:pPr>
      <w:r>
        <w:rPr>
          <w:rFonts w:eastAsia="Abadi Extra Light" w:cs="Abadi Extra Light"/>
          <w:sz w:val="20"/>
          <w:szCs w:val="20"/>
        </w:rPr>
        <w:t>Limitations: The assessment was conducted during the Covid-19 pandemic hence physical meetings were not feasible. The team mitigated against this by leveraging on virtual meetings and telephone calls to draw insights from the key stakeholders</w:t>
      </w:r>
      <w:bookmarkStart w:id="6" w:name="_26in1rg"/>
      <w:bookmarkEnd w:id="6"/>
      <w:r>
        <w:rPr>
          <w:rFonts w:eastAsia="Abadi Extra Light" w:cs="Abadi Extra Light"/>
          <w:sz w:val="20"/>
          <w:szCs w:val="20"/>
        </w:rPr>
        <w:t>. Respondents were based in the Coastal, Nairobi, Kiambu, Nyanza and Western regions and, therefore, may not be reflective of the experience in other regions of Kenya.</w:t>
      </w:r>
      <w:r>
        <w:br w:type="page"/>
      </w:r>
    </w:p>
    <w:p w14:paraId="10BB44D9" w14:textId="77777777" w:rsidR="00086021" w:rsidRDefault="009E19AB">
      <w:pPr>
        <w:pStyle w:val="Heading2"/>
      </w:pPr>
      <w:bookmarkStart w:id="7" w:name="_Toc56997933"/>
      <w:r>
        <w:lastRenderedPageBreak/>
        <w:t>3. Findings</w:t>
      </w:r>
      <w:bookmarkEnd w:id="7"/>
    </w:p>
    <w:p w14:paraId="7B4CE32A" w14:textId="77777777" w:rsidR="00086021" w:rsidRDefault="00086021"/>
    <w:p w14:paraId="4FB3B426" w14:textId="77777777" w:rsidR="00086021" w:rsidRDefault="009E19AB">
      <w:pPr>
        <w:pStyle w:val="BodyText"/>
        <w:rPr>
          <w:b/>
          <w:bCs/>
          <w:sz w:val="24"/>
        </w:rPr>
      </w:pPr>
      <w:r>
        <w:rPr>
          <w:b/>
          <w:bCs/>
          <w:noProof/>
          <w:sz w:val="24"/>
        </w:rPr>
        <mc:AlternateContent>
          <mc:Choice Requires="wps">
            <w:drawing>
              <wp:anchor distT="0" distB="0" distL="0" distR="0" simplePos="0" relativeHeight="10" behindDoc="0" locked="0" layoutInCell="1" allowOverlap="1" wp14:anchorId="1C536796" wp14:editId="46B99F1D">
                <wp:simplePos x="0" y="0"/>
                <wp:positionH relativeFrom="column">
                  <wp:posOffset>43180</wp:posOffset>
                </wp:positionH>
                <wp:positionV relativeFrom="paragraph">
                  <wp:posOffset>45085</wp:posOffset>
                </wp:positionV>
                <wp:extent cx="5681980" cy="1581150"/>
                <wp:effectExtent l="0" t="0" r="0" b="0"/>
                <wp:wrapNone/>
                <wp:docPr id="5" name="Shape2_0"/>
                <wp:cNvGraphicFramePr/>
                <a:graphic xmlns:a="http://schemas.openxmlformats.org/drawingml/2006/main">
                  <a:graphicData uri="http://schemas.microsoft.com/office/word/2010/wordprocessingShape">
                    <wps:wsp>
                      <wps:cNvSpPr/>
                      <wps:spPr>
                        <a:xfrm>
                          <a:off x="0" y="0"/>
                          <a:ext cx="5681520" cy="1580400"/>
                        </a:xfrm>
                        <a:prstGeom prst="rect">
                          <a:avLst/>
                        </a:prstGeom>
                        <a:solidFill>
                          <a:srgbClr val="C9211E">
                            <a:alpha val="15000"/>
                          </a:srgbClr>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c="http://schemas.openxmlformats.org/drawingml/2006/chart" xmlns:a1611="http://schemas.microsoft.com/office/drawing/2016/11/main" xmlns:a14="http://schemas.microsoft.com/office/drawing/2010/main" xmlns:pic="http://schemas.openxmlformats.org/drawingml/2006/picture" xmlns:a16="http://schemas.microsoft.com/office/drawing/2014/main" xmlns:a="http://schemas.openxmlformats.org/drawingml/2006/main">
            <w:pict w14:anchorId="1A819BF7">
              <v:rect id="Shape2_0" style="position:absolute;margin-left:3.4pt;margin-top:3.55pt;width:447.4pt;height:124.5pt;z-index:10;visibility:visible;mso-wrap-style:square;mso-wrap-distance-left:0;mso-wrap-distance-top:0;mso-wrap-distance-right:0;mso-wrap-distance-bottom:0;mso-position-horizontal:absolute;mso-position-horizontal-relative:text;mso-position-vertical:absolute;mso-position-vertical-relative:text;v-text-anchor:top" o:spid="_x0000_s1026" fillcolor="#c9211e" stroked="f" w14:anchorId="531383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">
                <v:fill opacity="9766f"/>
              </v:rect>
            </w:pict>
          </mc:Fallback>
        </mc:AlternateContent>
      </w:r>
    </w:p>
    <w:p w14:paraId="3C12F33E" w14:textId="026B0EC5" w:rsidR="00086021" w:rsidRDefault="009E19AB">
      <w:pPr>
        <w:pStyle w:val="BodyText"/>
        <w:tabs>
          <w:tab w:val="left" w:pos="91"/>
        </w:tabs>
        <w:ind w:left="540" w:right="360"/>
        <w:rPr>
          <w:b/>
          <w:bCs/>
          <w:sz w:val="24"/>
        </w:rPr>
      </w:pPr>
      <w:r>
        <w:rPr>
          <w:b/>
          <w:bCs/>
          <w:sz w:val="24"/>
        </w:rPr>
        <w:t xml:space="preserve">Domestic Resource </w:t>
      </w:r>
      <w:r w:rsidR="00A45B97">
        <w:rPr>
          <w:b/>
          <w:bCs/>
          <w:sz w:val="24"/>
        </w:rPr>
        <w:t xml:space="preserve">Mobilization </w:t>
      </w:r>
      <w:r>
        <w:rPr>
          <w:b/>
          <w:bCs/>
          <w:sz w:val="24"/>
        </w:rPr>
        <w:t>for Health in LMICs</w:t>
      </w:r>
    </w:p>
    <w:p w14:paraId="3E0A5868" w14:textId="77777777" w:rsidR="00086021" w:rsidRDefault="009E19AB">
      <w:pPr>
        <w:pStyle w:val="BodyText"/>
        <w:ind w:left="540" w:right="360"/>
        <w:rPr>
          <w:sz w:val="20"/>
          <w:szCs w:val="20"/>
        </w:rPr>
      </w:pPr>
      <w:r>
        <w:rPr>
          <w:sz w:val="20"/>
          <w:szCs w:val="20"/>
        </w:rPr>
        <w:t>Increasing tax revenues and improved budget prioritization of health have been shown to have the greatest potential in mobilizing more domestic resources for health in LMICs by 78% and 72% respectively. Improved technical efficiency in resource use in health has the potential of mobilizing an additional 26% of resources available for health.</w:t>
      </w:r>
    </w:p>
    <w:p w14:paraId="2DEE612E" w14:textId="77777777" w:rsidR="00086021" w:rsidRDefault="009E19AB">
      <w:pPr>
        <w:pStyle w:val="BodyText"/>
        <w:ind w:left="540"/>
        <w:rPr>
          <w:i/>
          <w:iCs/>
          <w:sz w:val="16"/>
          <w:szCs w:val="16"/>
        </w:rPr>
      </w:pPr>
      <w:r>
        <w:rPr>
          <w:i/>
          <w:iCs/>
          <w:sz w:val="16"/>
          <w:szCs w:val="16"/>
        </w:rPr>
        <w:t xml:space="preserve">Source: </w:t>
      </w:r>
      <w:r>
        <w:rPr>
          <w:i/>
          <w:iCs/>
          <w:sz w:val="16"/>
          <w:szCs w:val="16"/>
        </w:rPr>
        <w:fldChar w:fldCharType="begin"/>
      </w:r>
      <w:r>
        <w:rPr>
          <w:i/>
          <w:iCs/>
          <w:sz w:val="16"/>
          <w:szCs w:val="16"/>
        </w:rPr>
        <w:instrText>CITATION Bar18 \l 1033</w:instrText>
      </w:r>
      <w:r>
        <w:rPr>
          <w:i/>
          <w:iCs/>
          <w:sz w:val="16"/>
          <w:szCs w:val="16"/>
        </w:rPr>
        <w:fldChar w:fldCharType="separate"/>
      </w:r>
      <w:r>
        <w:rPr>
          <w:i/>
          <w:iCs/>
          <w:sz w:val="16"/>
          <w:szCs w:val="16"/>
        </w:rPr>
        <w:t>(Barroy, Sparkes, Dale, &amp; Mathonnat, 2018)</w:t>
      </w:r>
      <w:r>
        <w:rPr>
          <w:i/>
          <w:iCs/>
          <w:sz w:val="16"/>
          <w:szCs w:val="16"/>
        </w:rPr>
        <w:fldChar w:fldCharType="end"/>
      </w:r>
    </w:p>
    <w:p w14:paraId="2D12DB8F" w14:textId="77777777" w:rsidR="00086021" w:rsidRDefault="00086021"/>
    <w:p w14:paraId="477DB91E" w14:textId="77777777" w:rsidR="00086021" w:rsidRDefault="00086021"/>
    <w:p w14:paraId="3D338845" w14:textId="77777777" w:rsidR="00086021" w:rsidRDefault="009E19AB">
      <w:pPr>
        <w:pStyle w:val="Heading3"/>
      </w:pPr>
      <w:bookmarkStart w:id="8" w:name="_Toc56997934"/>
      <w:r>
        <w:t>3.1. Macro-Fiscal Characteristics of Kenya</w:t>
      </w:r>
      <w:bookmarkEnd w:id="8"/>
    </w:p>
    <w:p w14:paraId="7CFF86C5" w14:textId="77777777" w:rsidR="00086021" w:rsidRDefault="00086021">
      <w:pPr>
        <w:rPr>
          <w:rFonts w:ascii="Franklin Gothic Demi" w:eastAsia="Franklin Gothic" w:hAnsi="Franklin Gothic Demi" w:cs="Franklin Gothic"/>
          <w:color w:val="0070C0"/>
        </w:rPr>
      </w:pPr>
    </w:p>
    <w:p w14:paraId="71E22D3F" w14:textId="0D3D12A6" w:rsidR="00086021" w:rsidRDefault="009E19AB" w:rsidP="00FC49F8">
      <w:pPr>
        <w:pStyle w:val="BodyText"/>
        <w:jc w:val="both"/>
        <w:rPr>
          <w:sz w:val="20"/>
          <w:szCs w:val="20"/>
        </w:rPr>
      </w:pPr>
      <w:r>
        <w:rPr>
          <w:sz w:val="20"/>
          <w:szCs w:val="20"/>
        </w:rPr>
        <w:t xml:space="preserve">Understanding the trends within the general economic environment and how they influence the resource envelope available to health is essential for effective advocacy for domestic resource </w:t>
      </w:r>
      <w:proofErr w:type="spellStart"/>
      <w:r w:rsidR="00C80431">
        <w:rPr>
          <w:sz w:val="20"/>
          <w:szCs w:val="20"/>
        </w:rPr>
        <w:t>mobilisation</w:t>
      </w:r>
      <w:proofErr w:type="spellEnd"/>
      <w:r>
        <w:rPr>
          <w:sz w:val="20"/>
          <w:szCs w:val="20"/>
        </w:rPr>
        <w:t xml:space="preserve">. These include trends in government revenues, tax administration, government expenditures, public </w:t>
      </w:r>
      <w:proofErr w:type="gramStart"/>
      <w:r>
        <w:rPr>
          <w:sz w:val="20"/>
          <w:szCs w:val="20"/>
        </w:rPr>
        <w:t>debt</w:t>
      </w:r>
      <w:proofErr w:type="gramEnd"/>
      <w:r>
        <w:rPr>
          <w:sz w:val="20"/>
          <w:szCs w:val="20"/>
        </w:rPr>
        <w:t xml:space="preserve"> and public fiscal balance (difference between revenues and expenditures). </w:t>
      </w:r>
    </w:p>
    <w:p w14:paraId="0CEEC97E" w14:textId="4E2F2FBD" w:rsidR="00086021" w:rsidRDefault="009E19AB" w:rsidP="00FC49F8">
      <w:pPr>
        <w:pStyle w:val="BodyText"/>
        <w:jc w:val="both"/>
        <w:rPr>
          <w:sz w:val="20"/>
          <w:szCs w:val="20"/>
        </w:rPr>
      </w:pPr>
      <w:r>
        <w:rPr>
          <w:sz w:val="20"/>
          <w:szCs w:val="20"/>
        </w:rPr>
        <w:t xml:space="preserve">Public debt (external and domestic borrowing) was the leading source of government revenue accounting for between 66% and 80% between FY 2014/15 and FY 2018/19 as depicted in Figure 3. </w:t>
      </w:r>
    </w:p>
    <w:p w14:paraId="03474652" w14:textId="77777777" w:rsidR="00FC49F8" w:rsidRDefault="00FC49F8" w:rsidP="00FC49F8">
      <w:pPr>
        <w:pStyle w:val="BodyText"/>
        <w:jc w:val="both"/>
        <w:rPr>
          <w:sz w:val="20"/>
          <w:szCs w:val="20"/>
        </w:rPr>
      </w:pPr>
    </w:p>
    <w:p w14:paraId="3FB4A723" w14:textId="77777777" w:rsidR="00086021" w:rsidRPr="00FC49F8" w:rsidRDefault="009E19AB">
      <w:pPr>
        <w:pStyle w:val="Figure"/>
        <w:rPr>
          <w:b/>
          <w:bCs/>
          <w:sz w:val="18"/>
          <w:szCs w:val="18"/>
        </w:rPr>
      </w:pPr>
      <w:r w:rsidRPr="00FC49F8">
        <w:rPr>
          <w:b/>
          <w:bCs/>
          <w:sz w:val="18"/>
          <w:szCs w:val="18"/>
        </w:rPr>
        <w:t>Figure 3: Government Revenues between FY 2014/15 and FY 2018/19</w:t>
      </w:r>
    </w:p>
    <w:p w14:paraId="107CC4AE" w14:textId="4E2E054C" w:rsidR="00086021" w:rsidRDefault="00B81FD0">
      <w:pPr>
        <w:pStyle w:val="Figure"/>
      </w:pPr>
      <w:r>
        <w:rPr>
          <w:noProof/>
        </w:rPr>
        <w:drawing>
          <wp:inline distT="0" distB="0" distL="0" distR="0" wp14:anchorId="568E0FCC" wp14:editId="2300E120">
            <wp:extent cx="5130800" cy="2768600"/>
            <wp:effectExtent l="0" t="0" r="12700" b="12700"/>
            <wp:docPr id="64" name="Chart 64">
              <a:extLst xmlns:a="http://schemas.openxmlformats.org/drawingml/2006/main">
                <a:ext uri="{FF2B5EF4-FFF2-40B4-BE49-F238E27FC236}">
                  <a16:creationId xmlns:a16="http://schemas.microsoft.com/office/drawing/2014/main" id="{DDED7D36-13BA-4C63-A5A3-803FF1A2A9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D920E52" w14:textId="77777777" w:rsidR="00086021" w:rsidRDefault="009E19AB">
      <w:pPr>
        <w:pStyle w:val="BodyText"/>
        <w:rPr>
          <w:i/>
          <w:iCs/>
          <w:sz w:val="16"/>
          <w:szCs w:val="16"/>
        </w:rPr>
      </w:pPr>
      <w:r>
        <w:rPr>
          <w:i/>
          <w:iCs/>
          <w:sz w:val="16"/>
          <w:szCs w:val="16"/>
        </w:rPr>
        <w:t>Source: Economic Survey 2020</w:t>
      </w:r>
    </w:p>
    <w:p w14:paraId="073C21BB" w14:textId="77777777" w:rsidR="00086021" w:rsidRDefault="009E19AB" w:rsidP="00FC49F8">
      <w:pPr>
        <w:pStyle w:val="BodyText"/>
        <w:jc w:val="both"/>
        <w:rPr>
          <w:sz w:val="20"/>
          <w:szCs w:val="20"/>
        </w:rPr>
        <w:sectPr w:rsidR="00086021">
          <w:headerReference w:type="default" r:id="rId21"/>
          <w:footerReference w:type="default" r:id="rId22"/>
          <w:footerReference w:type="first" r:id="rId23"/>
          <w:pgSz w:w="11906" w:h="16838"/>
          <w:pgMar w:top="1440" w:right="1440" w:bottom="1198" w:left="1440" w:header="0" w:footer="708" w:gutter="0"/>
          <w:cols w:space="720"/>
          <w:formProt w:val="0"/>
          <w:titlePg/>
          <w:docGrid w:linePitch="100" w:charSpace="12288"/>
        </w:sectPr>
      </w:pPr>
      <w:r>
        <w:rPr>
          <w:sz w:val="20"/>
          <w:szCs w:val="20"/>
        </w:rPr>
        <w:t>Noteworthy, tax revenues accounted for only 21% to 26% of the government revenues. Whilst the absolute tax revenues progressively increased during the period, they barely exceeded the recommended minimum threshold as a proportion of the GDP (15%) that is deemed adequate to fund basic state functions. It was highest (16.3%) in FY 2014/15 and FY 2015/16, and lowest (15.2%) in FY 2017/18. See figure 4.</w:t>
      </w:r>
    </w:p>
    <w:p w14:paraId="28E6B06B" w14:textId="70A21389" w:rsidR="00086021" w:rsidRDefault="009E19AB">
      <w:pPr>
        <w:pStyle w:val="Figure"/>
        <w:rPr>
          <w:b/>
          <w:bCs/>
          <w:sz w:val="18"/>
          <w:szCs w:val="18"/>
        </w:rPr>
      </w:pPr>
      <w:r w:rsidRPr="00FC49F8">
        <w:rPr>
          <w:b/>
          <w:bCs/>
          <w:sz w:val="18"/>
          <w:szCs w:val="18"/>
        </w:rPr>
        <w:lastRenderedPageBreak/>
        <w:t>Figure 4: Trends in Tax Revenues in Kenya</w:t>
      </w:r>
    </w:p>
    <w:p w14:paraId="350AB62A" w14:textId="2DCBCF40" w:rsidR="00086021" w:rsidRDefault="00B81FD0">
      <w:pPr>
        <w:pStyle w:val="Figure"/>
      </w:pPr>
      <w:r w:rsidRPr="00C35DB2">
        <w:rPr>
          <w:rFonts w:ascii="Abadi Extra Light" w:eastAsia="SimSun" w:hAnsi="Abadi Extra Light" w:cs="Times New Roman"/>
          <w:noProof/>
          <w:sz w:val="21"/>
          <w:szCs w:val="21"/>
        </w:rPr>
        <w:drawing>
          <wp:inline distT="0" distB="0" distL="0" distR="0" wp14:anchorId="7E1C122E" wp14:editId="15F25909">
            <wp:extent cx="5594350" cy="3022600"/>
            <wp:effectExtent l="0" t="0" r="6350" b="6350"/>
            <wp:docPr id="2" name="Chart 2">
              <a:extLst xmlns:a="http://schemas.openxmlformats.org/drawingml/2006/main">
                <a:ext uri="{FF2B5EF4-FFF2-40B4-BE49-F238E27FC236}">
                  <a16:creationId xmlns:a16="http://schemas.microsoft.com/office/drawing/2014/main" id="{D7A8D533-071F-4587-ADEC-026C10349A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6FB330F" w14:textId="77777777" w:rsidR="00086021" w:rsidRDefault="009E19AB">
      <w:pPr>
        <w:pStyle w:val="BodyText"/>
        <w:rPr>
          <w:i/>
          <w:iCs/>
          <w:sz w:val="16"/>
          <w:szCs w:val="16"/>
        </w:rPr>
      </w:pPr>
      <w:r>
        <w:rPr>
          <w:i/>
          <w:iCs/>
          <w:sz w:val="16"/>
          <w:szCs w:val="16"/>
        </w:rPr>
        <w:t>Source: Economic Survey 2020; Kenya Revenue Authority 2019</w:t>
      </w:r>
    </w:p>
    <w:p w14:paraId="1DE2C36F" w14:textId="77777777" w:rsidR="00086021" w:rsidRDefault="009E19AB">
      <w:pPr>
        <w:pStyle w:val="BodyText"/>
        <w:rPr>
          <w:i/>
          <w:iCs/>
          <w:sz w:val="16"/>
          <w:szCs w:val="16"/>
        </w:rPr>
      </w:pPr>
      <w:r>
        <w:rPr>
          <w:i/>
          <w:iCs/>
          <w:noProof/>
          <w:sz w:val="16"/>
          <w:szCs w:val="16"/>
        </w:rPr>
        <mc:AlternateContent>
          <mc:Choice Requires="wps">
            <w:drawing>
              <wp:anchor distT="0" distB="0" distL="0" distR="0" simplePos="0" relativeHeight="13" behindDoc="0" locked="0" layoutInCell="1" allowOverlap="1" wp14:anchorId="44D62100" wp14:editId="65BCE500">
                <wp:simplePos x="0" y="0"/>
                <wp:positionH relativeFrom="column">
                  <wp:posOffset>-33655</wp:posOffset>
                </wp:positionH>
                <wp:positionV relativeFrom="paragraph">
                  <wp:posOffset>63500</wp:posOffset>
                </wp:positionV>
                <wp:extent cx="5681980" cy="1079500"/>
                <wp:effectExtent l="0" t="0" r="0" b="0"/>
                <wp:wrapNone/>
                <wp:docPr id="8" name="Shape2_1"/>
                <wp:cNvGraphicFramePr/>
                <a:graphic xmlns:a="http://schemas.openxmlformats.org/drawingml/2006/main">
                  <a:graphicData uri="http://schemas.microsoft.com/office/word/2010/wordprocessingShape">
                    <wps:wsp>
                      <wps:cNvSpPr/>
                      <wps:spPr>
                        <a:xfrm>
                          <a:off x="0" y="0"/>
                          <a:ext cx="5681520" cy="1078920"/>
                        </a:xfrm>
                        <a:prstGeom prst="rect">
                          <a:avLst/>
                        </a:prstGeom>
                        <a:solidFill>
                          <a:srgbClr val="C9211E">
                            <a:alpha val="15000"/>
                          </a:srgbClr>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c="http://schemas.openxmlformats.org/drawingml/2006/chart" xmlns:a1611="http://schemas.microsoft.com/office/drawing/2016/11/main" xmlns:a14="http://schemas.microsoft.com/office/drawing/2010/main" xmlns:pic="http://schemas.openxmlformats.org/drawingml/2006/picture" xmlns:a16="http://schemas.microsoft.com/office/drawing/2014/main" xmlns:a="http://schemas.openxmlformats.org/drawingml/2006/main">
            <w:pict w14:anchorId="320F3FEC">
              <v:rect id="Shape2_1" style="position:absolute;margin-left:-2.65pt;margin-top:5pt;width:447.4pt;height:85pt;z-index:13;visibility:visible;mso-wrap-style:square;mso-wrap-distance-left:0;mso-wrap-distance-top:0;mso-wrap-distance-right:0;mso-wrap-distance-bottom:0;mso-position-horizontal:absolute;mso-position-horizontal-relative:text;mso-position-vertical:absolute;mso-position-vertical-relative:text;v-text-anchor:top" o:spid="_x0000_s1026" fillcolor="#c9211e" stroked="f" w14:anchorId="17ED71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">
                <v:fill opacity="9766f"/>
              </v:rect>
            </w:pict>
          </mc:Fallback>
        </mc:AlternateContent>
      </w:r>
    </w:p>
    <w:p w14:paraId="1F702BE7" w14:textId="77777777" w:rsidR="00086021" w:rsidRDefault="009E19AB">
      <w:pPr>
        <w:pStyle w:val="BodyText"/>
        <w:ind w:left="540"/>
        <w:rPr>
          <w:b/>
          <w:bCs/>
          <w:sz w:val="24"/>
        </w:rPr>
      </w:pPr>
      <w:r>
        <w:rPr>
          <w:b/>
          <w:bCs/>
          <w:sz w:val="24"/>
        </w:rPr>
        <w:t>Advocacy Opportunity in Tax Reforms</w:t>
      </w:r>
    </w:p>
    <w:p w14:paraId="2D5107B3" w14:textId="77777777" w:rsidR="00086021" w:rsidRDefault="009E19AB">
      <w:pPr>
        <w:pStyle w:val="BodyText"/>
        <w:ind w:left="540" w:right="360"/>
        <w:rPr>
          <w:sz w:val="20"/>
          <w:szCs w:val="20"/>
        </w:rPr>
      </w:pPr>
      <w:r>
        <w:rPr>
          <w:sz w:val="20"/>
          <w:szCs w:val="20"/>
        </w:rPr>
        <w:t xml:space="preserve">Since tax revenues are known to have the greatest DRM potential, the low tax to GDP ratio in Kenya may signify the need for advocacy for better tax administration with a view to expanding the tax revenues whilst remaining equitable and efficient. </w:t>
      </w:r>
    </w:p>
    <w:p w14:paraId="18A11C25" w14:textId="77777777" w:rsidR="00086021" w:rsidRDefault="00086021">
      <w:pPr>
        <w:pStyle w:val="BodyText"/>
        <w:ind w:left="540" w:right="360"/>
        <w:rPr>
          <w:sz w:val="20"/>
          <w:szCs w:val="20"/>
        </w:rPr>
      </w:pPr>
    </w:p>
    <w:p w14:paraId="77C1812B" w14:textId="77777777" w:rsidR="00086021" w:rsidRPr="00FC49F8" w:rsidRDefault="009E19AB">
      <w:pPr>
        <w:pStyle w:val="Figure"/>
        <w:rPr>
          <w:b/>
          <w:bCs/>
          <w:sz w:val="18"/>
          <w:szCs w:val="18"/>
        </w:rPr>
      </w:pPr>
      <w:r w:rsidRPr="00FC49F8">
        <w:rPr>
          <w:b/>
          <w:bCs/>
          <w:sz w:val="18"/>
          <w:szCs w:val="18"/>
        </w:rPr>
        <w:t>Figure 5: Trends in the Public Fiscal Balance in Kenya</w:t>
      </w:r>
    </w:p>
    <w:p w14:paraId="558544A2" w14:textId="2AAEB4F5" w:rsidR="00086021" w:rsidRDefault="00B81FD0">
      <w:pPr>
        <w:pStyle w:val="Figure"/>
      </w:pPr>
      <w:r>
        <w:rPr>
          <w:noProof/>
        </w:rPr>
        <mc:AlternateContent>
          <mc:Choice Requires="wps">
            <w:drawing>
              <wp:anchor distT="0" distB="0" distL="114300" distR="114300" simplePos="0" relativeHeight="251662336" behindDoc="0" locked="0" layoutInCell="1" allowOverlap="1" wp14:anchorId="0B60DFDE" wp14:editId="7542EF69">
                <wp:simplePos x="0" y="0"/>
                <wp:positionH relativeFrom="column">
                  <wp:posOffset>1168400</wp:posOffset>
                </wp:positionH>
                <wp:positionV relativeFrom="paragraph">
                  <wp:posOffset>412750</wp:posOffset>
                </wp:positionV>
                <wp:extent cx="908685" cy="323215"/>
                <wp:effectExtent l="152400" t="0" r="24765" b="743585"/>
                <wp:wrapNone/>
                <wp:docPr id="63" name="Callout: Double Bent Line 63"/>
                <wp:cNvGraphicFramePr/>
                <a:graphic xmlns:a="http://schemas.openxmlformats.org/drawingml/2006/main">
                  <a:graphicData uri="http://schemas.microsoft.com/office/word/2010/wordprocessingShape">
                    <wps:wsp>
                      <wps:cNvSpPr/>
                      <wps:spPr>
                        <a:xfrm>
                          <a:off x="0" y="0"/>
                          <a:ext cx="908685" cy="323215"/>
                        </a:xfrm>
                        <a:prstGeom prst="borderCallout3">
                          <a:avLst>
                            <a:gd name="adj1" fmla="val 18750"/>
                            <a:gd name="adj2" fmla="val 956"/>
                            <a:gd name="adj3" fmla="val 18750"/>
                            <a:gd name="adj4" fmla="val -16667"/>
                            <a:gd name="adj5" fmla="val 100000"/>
                            <a:gd name="adj6" fmla="val -16667"/>
                            <a:gd name="adj7" fmla="val 326325"/>
                            <a:gd name="adj8" fmla="val -16211"/>
                          </a:avLst>
                        </a:prstGeom>
                        <a:ln w="12700"/>
                      </wps:spPr>
                      <wps:style>
                        <a:lnRef idx="2">
                          <a:schemeClr val="accent3"/>
                        </a:lnRef>
                        <a:fillRef idx="1">
                          <a:schemeClr val="lt1"/>
                        </a:fillRef>
                        <a:effectRef idx="0">
                          <a:schemeClr val="accent3"/>
                        </a:effectRef>
                        <a:fontRef idx="minor">
                          <a:schemeClr val="dk1"/>
                        </a:fontRef>
                      </wps:style>
                      <wps:txbx>
                        <w:txbxContent>
                          <w:p w14:paraId="34963B32" w14:textId="77777777" w:rsidR="00B81FD0" w:rsidRPr="00C904B9" w:rsidRDefault="00B81FD0" w:rsidP="00B81FD0">
                            <w:pPr>
                              <w:jc w:val="center"/>
                              <w:rPr>
                                <w:rFonts w:ascii="Abadi Extra Light" w:hAnsi="Abadi Extra Light"/>
                                <w:sz w:val="14"/>
                                <w:szCs w:val="14"/>
                              </w:rPr>
                            </w:pPr>
                            <w:r w:rsidRPr="00C904B9">
                              <w:rPr>
                                <w:rFonts w:ascii="Abadi Extra Light" w:hAnsi="Abadi Extra Light"/>
                                <w:sz w:val="14"/>
                                <w:szCs w:val="14"/>
                              </w:rPr>
                              <w:t>Deficit vs GDP Ratio Threshold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60DFDE" id="_x0000_t49" coordsize="21600,21600" o:spt="49" adj="23400,24400,25200,21600,25200,4050,23400,4050" path="m@0@1l@2@3@4@5@6@7nfem,l21600,r,21600l,21600xe">
                <v:stroke joinstyle="miter"/>
                <v:formulas>
                  <v:f eqn="val #0"/>
                  <v:f eqn="val #1"/>
                  <v:f eqn="val #2"/>
                  <v:f eqn="val #3"/>
                  <v:f eqn="val #4"/>
                  <v:f eqn="val #5"/>
                  <v:f eqn="val #6"/>
                  <v:f eqn="val #7"/>
                </v:formulas>
                <v:path arrowok="t" o:extrusionok="f" gradientshapeok="t" o:connecttype="custom" o:connectlocs="@0,@1;10800,0;10800,21600;0,10800;21600,10800"/>
                <v:handles>
                  <v:h position="#0,#1"/>
                  <v:h position="#2,#3"/>
                  <v:h position="#4,#5"/>
                  <v:h position="#6,#7"/>
                </v:handles>
                <o:callout v:ext="edit" type="threeSegment" on="t"/>
              </v:shapetype>
              <v:shape id="Callout: Double Bent Line 63" o:spid="_x0000_s1027" type="#_x0000_t49" style="position:absolute;margin-left:92pt;margin-top:32.5pt;width:71.55pt;height:25.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" adj="-3502,70486,-3600,,-3600,,206" fillcolor="white [3201]" strokecolor="#a5a5a5 [3206]" strokeweight="1pt">
                <v:textbox>
                  <w:txbxContent>
                    <w:p w14:paraId="34963B32" w14:textId="77777777" w:rsidR="00B81FD0" w:rsidRPr="00C904B9" w:rsidRDefault="00B81FD0" w:rsidP="00B81FD0">
                      <w:pPr>
                        <w:jc w:val="center"/>
                        <w:rPr>
                          <w:rFonts w:ascii="Abadi Extra Light" w:hAnsi="Abadi Extra Light"/>
                          <w:sz w:val="14"/>
                          <w:szCs w:val="14"/>
                        </w:rPr>
                      </w:pPr>
                      <w:r w:rsidRPr="00C904B9">
                        <w:rPr>
                          <w:rFonts w:ascii="Abadi Extra Light" w:hAnsi="Abadi Extra Light"/>
                          <w:sz w:val="14"/>
                          <w:szCs w:val="14"/>
                        </w:rPr>
                        <w:t>Deficit vs GDP Ratio Threshold</w:t>
                      </w:r>
                    </w:p>
                  </w:txbxContent>
                </v:textbox>
                <o:callout v:ext="edit" minusx="t" minusy="t"/>
              </v:shape>
            </w:pict>
          </mc:Fallback>
        </mc:AlternateContent>
      </w:r>
      <w:r>
        <w:rPr>
          <w:noProof/>
        </w:rPr>
        <w:drawing>
          <wp:inline distT="0" distB="0" distL="0" distR="0" wp14:anchorId="5C9183FC" wp14:editId="59B0987F">
            <wp:extent cx="5731510" cy="2817591"/>
            <wp:effectExtent l="0" t="0" r="2540" b="1905"/>
            <wp:docPr id="62" name="Chart 62">
              <a:extLst xmlns:a="http://schemas.openxmlformats.org/drawingml/2006/main">
                <a:ext uri="{FF2B5EF4-FFF2-40B4-BE49-F238E27FC236}">
                  <a16:creationId xmlns:a16="http://schemas.microsoft.com/office/drawing/2014/main" id="{832943C0-2A1C-4C76-9E53-A74E7679B3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4A6D7FC" w14:textId="77777777" w:rsidR="00086021" w:rsidRDefault="009E19AB">
      <w:pPr>
        <w:pStyle w:val="BodyText"/>
        <w:rPr>
          <w:i/>
          <w:iCs/>
          <w:sz w:val="16"/>
          <w:szCs w:val="16"/>
        </w:rPr>
      </w:pPr>
      <w:r>
        <w:rPr>
          <w:i/>
          <w:iCs/>
          <w:sz w:val="16"/>
          <w:szCs w:val="16"/>
        </w:rPr>
        <w:t>Source: Economic Survey 2020</w:t>
      </w:r>
    </w:p>
    <w:p w14:paraId="3FB8D648" w14:textId="77777777" w:rsidR="00086021" w:rsidRDefault="009E19AB" w:rsidP="00FC49F8">
      <w:pPr>
        <w:pStyle w:val="BodyText"/>
        <w:jc w:val="both"/>
        <w:rPr>
          <w:sz w:val="20"/>
          <w:szCs w:val="20"/>
        </w:rPr>
      </w:pPr>
      <w:r>
        <w:rPr>
          <w:sz w:val="20"/>
          <w:szCs w:val="20"/>
        </w:rPr>
        <w:t xml:space="preserve">As shown in figure 5, the country’s fiscal deficit (expenditures exceeded the revenues) was noted to have tripled in absolute value from KSh.220 Billion in FY 2014/15 to KSh.676 Billion in FY 2018/19. This saw a doubling of the deficit-to-GDP ratio from </w:t>
      </w:r>
      <w:r>
        <w:rPr>
          <w:rFonts w:eastAsia="Abadi Extra Light" w:cs="Abadi Extra Light"/>
          <w:sz w:val="20"/>
          <w:szCs w:val="20"/>
        </w:rPr>
        <w:t xml:space="preserve">3.5% to 6.9% for the same period against the East </w:t>
      </w:r>
      <w:r>
        <w:rPr>
          <w:rFonts w:eastAsia="Abadi Extra Light" w:cs="Abadi Extra Light"/>
          <w:sz w:val="20"/>
          <w:szCs w:val="20"/>
        </w:rPr>
        <w:lastRenderedPageBreak/>
        <w:t>African Community (EAC) threshold</w:t>
      </w:r>
      <w:r>
        <w:rPr>
          <w:rStyle w:val="FootnoteAnchor"/>
          <w:rFonts w:eastAsia="Abadi Extra Light" w:cs="Abadi Extra Light"/>
          <w:sz w:val="20"/>
          <w:szCs w:val="20"/>
        </w:rPr>
        <w:footnoteReference w:id="1"/>
      </w:r>
      <w:r>
        <w:rPr>
          <w:rFonts w:eastAsia="Abadi Extra Light" w:cs="Abadi Extra Light"/>
          <w:sz w:val="20"/>
          <w:szCs w:val="20"/>
        </w:rPr>
        <w:t xml:space="preserve"> of 3%. The rising fiscal deficit was accompanied by a rising need for debt financing for public expenditure. Consequently, the public debt more than doubled (104%) during the same period, with external debt that is prone to unfavorable interest rates accounting for nearly 60% of the debt. Further, the debt-to-GDP ratio progressively grew from 41.4% to 54.4%, peaking at a level beyond the recommended East African Community threshold of 50% as shown in Figure 6.</w:t>
      </w:r>
    </w:p>
    <w:p w14:paraId="31016C30" w14:textId="77777777" w:rsidR="00086021" w:rsidRPr="00FC49F8" w:rsidRDefault="009E19AB">
      <w:pPr>
        <w:pStyle w:val="Figure"/>
        <w:rPr>
          <w:b/>
          <w:bCs/>
          <w:sz w:val="20"/>
          <w:szCs w:val="20"/>
        </w:rPr>
      </w:pPr>
      <w:r w:rsidRPr="00FC49F8">
        <w:rPr>
          <w:b/>
          <w:bCs/>
          <w:sz w:val="20"/>
          <w:szCs w:val="20"/>
        </w:rPr>
        <w:t>Figure 6: Trends of Domestic and External Debt in Kenya</w:t>
      </w:r>
    </w:p>
    <w:p w14:paraId="1EA033B9" w14:textId="042F45CB" w:rsidR="00086021" w:rsidRDefault="00B81FD0">
      <w:pPr>
        <w:pStyle w:val="Figure"/>
      </w:pPr>
      <w:r w:rsidRPr="00C35DB2">
        <w:rPr>
          <w:rFonts w:ascii="Abadi Extra Light" w:eastAsia="SimSun" w:hAnsi="Abadi Extra Light" w:cs="Times New Roman"/>
          <w:noProof/>
          <w:sz w:val="21"/>
          <w:szCs w:val="21"/>
        </w:rPr>
        <w:drawing>
          <wp:inline distT="0" distB="0" distL="0" distR="0" wp14:anchorId="2495394A" wp14:editId="1BF774C8">
            <wp:extent cx="5731510" cy="2675237"/>
            <wp:effectExtent l="0" t="0" r="2540" b="11430"/>
            <wp:docPr id="59" name="Chart 59">
              <a:extLst xmlns:a="http://schemas.openxmlformats.org/drawingml/2006/main">
                <a:ext uri="{FF2B5EF4-FFF2-40B4-BE49-F238E27FC236}">
                  <a16:creationId xmlns:a16="http://schemas.microsoft.com/office/drawing/2014/main" id="{7A4B5371-E558-4990-AFCF-12A1FE9C1F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2ED0239" w14:textId="77777777" w:rsidR="00086021" w:rsidRDefault="009E19AB">
      <w:pPr>
        <w:pStyle w:val="BodyText"/>
        <w:rPr>
          <w:i/>
          <w:iCs/>
          <w:sz w:val="16"/>
          <w:szCs w:val="16"/>
        </w:rPr>
      </w:pPr>
      <w:r>
        <w:rPr>
          <w:i/>
          <w:iCs/>
          <w:sz w:val="16"/>
          <w:szCs w:val="16"/>
        </w:rPr>
        <w:t>Source: Economic Survey 2020</w:t>
      </w:r>
    </w:p>
    <w:p w14:paraId="597AF928" w14:textId="77777777" w:rsidR="00086021" w:rsidRDefault="009E19AB">
      <w:pPr>
        <w:pStyle w:val="FrameContents"/>
        <w:jc w:val="center"/>
        <w:rPr>
          <w:rFonts w:ascii="Franklin Gothic Demi" w:hAnsi="Franklin Gothic Demi"/>
          <w:color w:val="0070C0"/>
        </w:rPr>
      </w:pPr>
      <w:r>
        <w:rPr>
          <w:rFonts w:ascii="Franklin Gothic Demi" w:hAnsi="Franklin Gothic Demi"/>
          <w:noProof/>
          <w:color w:val="0070C0"/>
        </w:rPr>
        <mc:AlternateContent>
          <mc:Choice Requires="wps">
            <w:drawing>
              <wp:anchor distT="0" distB="0" distL="0" distR="0" simplePos="0" relativeHeight="16" behindDoc="0" locked="0" layoutInCell="1" allowOverlap="1" wp14:anchorId="4B96235D" wp14:editId="59D79082">
                <wp:simplePos x="0" y="0"/>
                <wp:positionH relativeFrom="column">
                  <wp:posOffset>14605</wp:posOffset>
                </wp:positionH>
                <wp:positionV relativeFrom="paragraph">
                  <wp:posOffset>26670</wp:posOffset>
                </wp:positionV>
                <wp:extent cx="5681980" cy="1369060"/>
                <wp:effectExtent l="0" t="0" r="0" b="0"/>
                <wp:wrapNone/>
                <wp:docPr id="11" name="Shape2_2"/>
                <wp:cNvGraphicFramePr/>
                <a:graphic xmlns:a="http://schemas.openxmlformats.org/drawingml/2006/main">
                  <a:graphicData uri="http://schemas.microsoft.com/office/word/2010/wordprocessingShape">
                    <wps:wsp>
                      <wps:cNvSpPr/>
                      <wps:spPr>
                        <a:xfrm>
                          <a:off x="0" y="0"/>
                          <a:ext cx="5681520" cy="1368360"/>
                        </a:xfrm>
                        <a:prstGeom prst="rect">
                          <a:avLst/>
                        </a:prstGeom>
                        <a:solidFill>
                          <a:srgbClr val="C9211E">
                            <a:alpha val="15000"/>
                          </a:srgbClr>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c="http://schemas.openxmlformats.org/drawingml/2006/chart" xmlns:a1611="http://schemas.microsoft.com/office/drawing/2016/11/main" xmlns:a14="http://schemas.microsoft.com/office/drawing/2010/main" xmlns:pic="http://schemas.openxmlformats.org/drawingml/2006/picture" xmlns:a16="http://schemas.microsoft.com/office/drawing/2014/main" xmlns:a="http://schemas.openxmlformats.org/drawingml/2006/main">
            <w:pict w14:anchorId="506B3C9D">
              <v:rect id="Shape2_2" style="position:absolute;margin-left:1.15pt;margin-top:2.1pt;width:447.4pt;height:107.8pt;z-index:16;visibility:visible;mso-wrap-style:square;mso-wrap-distance-left:0;mso-wrap-distance-top:0;mso-wrap-distance-right:0;mso-wrap-distance-bottom:0;mso-position-horizontal:absolute;mso-position-horizontal-relative:text;mso-position-vertical:absolute;mso-position-vertical-relative:text;v-text-anchor:top" o:spid="_x0000_s1026" fillcolor="#c9211e" stroked="f" w14:anchorId="5EA579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">
                <v:fill opacity="9766f"/>
              </v:rect>
            </w:pict>
          </mc:Fallback>
        </mc:AlternateContent>
      </w:r>
    </w:p>
    <w:p w14:paraId="5DB55311" w14:textId="77777777" w:rsidR="00086021" w:rsidRDefault="009E19AB">
      <w:pPr>
        <w:pStyle w:val="BodyText"/>
        <w:ind w:left="540"/>
        <w:rPr>
          <w:b/>
          <w:bCs/>
          <w:sz w:val="24"/>
        </w:rPr>
      </w:pPr>
      <w:r>
        <w:rPr>
          <w:b/>
          <w:bCs/>
          <w:sz w:val="24"/>
        </w:rPr>
        <w:t>Advocacy Opportunity in Public Debt &amp; Expenditure Management</w:t>
      </w:r>
    </w:p>
    <w:p w14:paraId="1040945C" w14:textId="1EAC9145" w:rsidR="00086021" w:rsidRDefault="009E19AB">
      <w:pPr>
        <w:pStyle w:val="BodyText"/>
        <w:ind w:left="540" w:right="360"/>
        <w:rPr>
          <w:sz w:val="20"/>
          <w:szCs w:val="20"/>
        </w:rPr>
      </w:pPr>
      <w:r>
        <w:rPr>
          <w:sz w:val="20"/>
          <w:szCs w:val="20"/>
        </w:rPr>
        <w:t xml:space="preserve">The growing fiscal deficit and public debt not only have the potential of reducing the fiscal space for </w:t>
      </w:r>
      <w:proofErr w:type="gramStart"/>
      <w:r>
        <w:rPr>
          <w:sz w:val="20"/>
          <w:szCs w:val="20"/>
        </w:rPr>
        <w:t>health,  but</w:t>
      </w:r>
      <w:proofErr w:type="gramEnd"/>
      <w:r>
        <w:rPr>
          <w:sz w:val="20"/>
          <w:szCs w:val="20"/>
        </w:rPr>
        <w:t xml:space="preserve"> also threaten sustainability of current resource </w:t>
      </w:r>
      <w:r w:rsidR="00A45B97">
        <w:rPr>
          <w:sz w:val="20"/>
          <w:szCs w:val="20"/>
        </w:rPr>
        <w:t xml:space="preserve">mobilization </w:t>
      </w:r>
      <w:r>
        <w:rPr>
          <w:sz w:val="20"/>
          <w:szCs w:val="20"/>
        </w:rPr>
        <w:t>strategies. These provide an opportunity for advocacy for prudence in public debt and expenditure management in the quest to expand the resources available for heath (fiscal space for health).</w:t>
      </w:r>
    </w:p>
    <w:p w14:paraId="18885774" w14:textId="0F5D6E72" w:rsidR="00086021" w:rsidRDefault="00086021">
      <w:pPr>
        <w:pStyle w:val="BodyText"/>
        <w:ind w:left="540" w:right="360"/>
        <w:rPr>
          <w:sz w:val="20"/>
          <w:szCs w:val="20"/>
        </w:rPr>
      </w:pPr>
    </w:p>
    <w:p w14:paraId="23674D85" w14:textId="77777777" w:rsidR="00FC49F8" w:rsidRDefault="00FC49F8">
      <w:pPr>
        <w:pStyle w:val="BodyText"/>
        <w:ind w:left="540" w:right="360"/>
        <w:rPr>
          <w:sz w:val="20"/>
          <w:szCs w:val="20"/>
        </w:rPr>
      </w:pPr>
    </w:p>
    <w:p w14:paraId="418FC24D" w14:textId="77777777" w:rsidR="00086021" w:rsidRDefault="009E19AB">
      <w:pPr>
        <w:pStyle w:val="Heading3"/>
      </w:pPr>
      <w:bookmarkStart w:id="9" w:name="_Toc56997935"/>
      <w:r>
        <w:t>3.2. Health Financing in Kenya</w:t>
      </w:r>
      <w:bookmarkEnd w:id="9"/>
    </w:p>
    <w:p w14:paraId="431DD08D" w14:textId="77777777" w:rsidR="00086021" w:rsidRDefault="00086021"/>
    <w:p w14:paraId="69D67D1F" w14:textId="77777777" w:rsidR="00086021" w:rsidRDefault="009E19AB" w:rsidP="00FC49F8">
      <w:pPr>
        <w:pStyle w:val="BodyText"/>
        <w:jc w:val="both"/>
        <w:rPr>
          <w:sz w:val="20"/>
          <w:szCs w:val="20"/>
        </w:rPr>
      </w:pPr>
      <w:r>
        <w:rPr>
          <w:sz w:val="20"/>
          <w:szCs w:val="20"/>
        </w:rPr>
        <w:t xml:space="preserve">Health care in many countries is financed through both contributory sources (members directly contribute) and non-contributory sources (members do not directly contribute). Contributory sources are health insurance (social and private) and Out of Pocket payments (OOP), while the non-contributory sources are government, and donor funds (Mwaambi, 2017). Each health financing source has different implications for the overall health care system and advancement towards UHC. The health financing functions namely, revenue raising, </w:t>
      </w:r>
      <w:proofErr w:type="gramStart"/>
      <w:r>
        <w:rPr>
          <w:sz w:val="20"/>
          <w:szCs w:val="20"/>
        </w:rPr>
        <w:t>pooling</w:t>
      </w:r>
      <w:proofErr w:type="gramEnd"/>
      <w:r>
        <w:rPr>
          <w:sz w:val="20"/>
          <w:szCs w:val="20"/>
        </w:rPr>
        <w:t xml:space="preserve"> and purchasing, are discussed in this report drawing from the Kenyan context.</w:t>
      </w:r>
    </w:p>
    <w:p w14:paraId="648B0E89" w14:textId="77777777" w:rsidR="00086021" w:rsidRDefault="00086021">
      <w:pPr>
        <w:jc w:val="both"/>
        <w:rPr>
          <w:rFonts w:ascii="Abadi Extra Light" w:eastAsia="Abadi Extra Light" w:hAnsi="Abadi Extra Light" w:cs="Abadi Extra Light"/>
        </w:rPr>
      </w:pPr>
    </w:p>
    <w:p w14:paraId="45B99CC6" w14:textId="77777777" w:rsidR="00086021" w:rsidRDefault="009E19AB">
      <w:pPr>
        <w:pStyle w:val="Heading4"/>
      </w:pPr>
      <w:bookmarkStart w:id="10" w:name="_44sinio"/>
      <w:bookmarkStart w:id="11" w:name="_Toc56997936"/>
      <w:bookmarkEnd w:id="10"/>
      <w:r>
        <w:t>3.2.1. Revenue Raising in Kenya</w:t>
      </w:r>
      <w:bookmarkEnd w:id="11"/>
    </w:p>
    <w:p w14:paraId="7CC02D32" w14:textId="77777777" w:rsidR="00086021" w:rsidRDefault="00086021">
      <w:pPr>
        <w:rPr>
          <w:rFonts w:ascii="Franklin Gothic Demi" w:eastAsia="Franklin Gothic" w:hAnsi="Franklin Gothic Demi" w:cs="Franklin Gothic"/>
          <w:color w:val="0070C0"/>
        </w:rPr>
      </w:pPr>
      <w:bookmarkStart w:id="12" w:name="_2jxsxqh"/>
      <w:bookmarkEnd w:id="12"/>
    </w:p>
    <w:p w14:paraId="7392CC20" w14:textId="77777777" w:rsidR="00086021" w:rsidRDefault="009E19AB" w:rsidP="00FC49F8">
      <w:pPr>
        <w:pStyle w:val="BodyText"/>
        <w:jc w:val="both"/>
        <w:rPr>
          <w:sz w:val="20"/>
          <w:szCs w:val="20"/>
        </w:rPr>
      </w:pPr>
      <w:r>
        <w:rPr>
          <w:sz w:val="20"/>
          <w:szCs w:val="20"/>
        </w:rPr>
        <w:t xml:space="preserve">The Kenyan health system is funded through three main sources: 1) OOP payments; 2) Government revenues and; 3) Donor funds (Chuma et al 2012). </w:t>
      </w:r>
    </w:p>
    <w:p w14:paraId="61ADD64B" w14:textId="77777777" w:rsidR="00086021" w:rsidRDefault="00086021">
      <w:pPr>
        <w:pStyle w:val="BodyText"/>
        <w:rPr>
          <w:sz w:val="20"/>
          <w:szCs w:val="20"/>
        </w:rPr>
      </w:pPr>
    </w:p>
    <w:p w14:paraId="6502E006" w14:textId="481C31A3" w:rsidR="00086021" w:rsidRDefault="00086021">
      <w:pPr>
        <w:pStyle w:val="BodyText"/>
        <w:rPr>
          <w:sz w:val="20"/>
          <w:szCs w:val="20"/>
        </w:rPr>
      </w:pPr>
    </w:p>
    <w:p w14:paraId="7CA91746" w14:textId="77777777" w:rsidR="00BE546C" w:rsidRDefault="00BE546C">
      <w:pPr>
        <w:pStyle w:val="BodyText"/>
        <w:rPr>
          <w:sz w:val="20"/>
          <w:szCs w:val="20"/>
        </w:rPr>
      </w:pPr>
    </w:p>
    <w:p w14:paraId="3A592BC8" w14:textId="2A44C473" w:rsidR="00086021" w:rsidRPr="00FC49F8" w:rsidRDefault="009E19AB">
      <w:pPr>
        <w:pStyle w:val="Figure"/>
        <w:rPr>
          <w:b/>
          <w:bCs/>
          <w:sz w:val="18"/>
          <w:szCs w:val="18"/>
        </w:rPr>
      </w:pPr>
      <w:r w:rsidRPr="00FC49F8">
        <w:rPr>
          <w:b/>
          <w:bCs/>
          <w:sz w:val="18"/>
          <w:szCs w:val="18"/>
        </w:rPr>
        <w:t xml:space="preserve">Figure 7: Financing sources as a percent of </w:t>
      </w:r>
      <w:r w:rsidR="00FC49F8" w:rsidRPr="00FC49F8">
        <w:rPr>
          <w:b/>
          <w:bCs/>
          <w:sz w:val="18"/>
          <w:szCs w:val="18"/>
        </w:rPr>
        <w:t xml:space="preserve">Total Health Expenditure </w:t>
      </w:r>
      <w:r w:rsidR="00FC49F8">
        <w:rPr>
          <w:b/>
          <w:bCs/>
          <w:sz w:val="18"/>
          <w:szCs w:val="18"/>
        </w:rPr>
        <w:t>(</w:t>
      </w:r>
      <w:r w:rsidRPr="00FC49F8">
        <w:rPr>
          <w:b/>
          <w:bCs/>
          <w:sz w:val="18"/>
          <w:szCs w:val="18"/>
        </w:rPr>
        <w:t>THE</w:t>
      </w:r>
      <w:r w:rsidR="00FC49F8">
        <w:rPr>
          <w:b/>
          <w:bCs/>
          <w:sz w:val="18"/>
          <w:szCs w:val="18"/>
        </w:rPr>
        <w:t>)</w:t>
      </w:r>
    </w:p>
    <w:p w14:paraId="09F17D30" w14:textId="77777777" w:rsidR="00086021" w:rsidRDefault="009E19AB">
      <w:pPr>
        <w:pStyle w:val="Figure"/>
      </w:pPr>
      <w:r>
        <w:rPr>
          <w:noProof/>
        </w:rPr>
        <w:drawing>
          <wp:inline distT="0" distB="0" distL="0" distR="0" wp14:anchorId="3DCFB061" wp14:editId="63AE5B51">
            <wp:extent cx="5725160" cy="2554605"/>
            <wp:effectExtent l="0" t="0" r="0" b="0"/>
            <wp:docPr id="12" name="Object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05C52A3" w14:textId="7DEEC931" w:rsidR="00086021" w:rsidRDefault="009E19AB">
      <w:pPr>
        <w:pStyle w:val="BodyText"/>
        <w:rPr>
          <w:i/>
          <w:iCs/>
          <w:sz w:val="16"/>
          <w:szCs w:val="16"/>
        </w:rPr>
      </w:pPr>
      <w:r>
        <w:rPr>
          <w:i/>
          <w:iCs/>
          <w:sz w:val="16"/>
          <w:szCs w:val="16"/>
        </w:rPr>
        <w:t>Source: National Health Accounts (Ministry of Health, 2019)</w:t>
      </w:r>
    </w:p>
    <w:p w14:paraId="4CA96B3D" w14:textId="77777777" w:rsidR="00BE546C" w:rsidRDefault="00BE546C">
      <w:pPr>
        <w:pStyle w:val="BodyText"/>
        <w:rPr>
          <w:i/>
          <w:iCs/>
          <w:sz w:val="16"/>
          <w:szCs w:val="16"/>
        </w:rPr>
      </w:pPr>
    </w:p>
    <w:p w14:paraId="40DAF388" w14:textId="77777777" w:rsidR="00086021" w:rsidRDefault="009E19AB">
      <w:pPr>
        <w:pStyle w:val="Heading5"/>
        <w:numPr>
          <w:ilvl w:val="0"/>
          <w:numId w:val="20"/>
        </w:numPr>
      </w:pPr>
      <w:r>
        <w:t>Out of Pocket Payments (OOP)</w:t>
      </w:r>
    </w:p>
    <w:p w14:paraId="2ABD8AB7" w14:textId="77777777" w:rsidR="00086021" w:rsidRDefault="00086021"/>
    <w:p w14:paraId="447F4DF2" w14:textId="1B6CB188" w:rsidR="00086021" w:rsidRDefault="009E19AB" w:rsidP="00FC49F8">
      <w:pPr>
        <w:pStyle w:val="BodyText"/>
        <w:jc w:val="both"/>
        <w:rPr>
          <w:sz w:val="20"/>
          <w:szCs w:val="20"/>
        </w:rPr>
      </w:pPr>
      <w:r>
        <w:rPr>
          <w:rFonts w:eastAsia="Arial" w:cs="Arial"/>
          <w:sz w:val="20"/>
          <w:szCs w:val="20"/>
        </w:rPr>
        <w:t xml:space="preserve">OOPs for health refer to spending on health directly by households from their incomes. This excludes any prepayment for health services, for example in the form of taxes or specific insurance premiums or contributions and, where possible, net of any reimbursements to the individual who made the </w:t>
      </w:r>
      <w:r w:rsidR="00FC49F8">
        <w:rPr>
          <w:rFonts w:eastAsia="Arial" w:cs="Arial"/>
          <w:sz w:val="20"/>
          <w:szCs w:val="20"/>
        </w:rPr>
        <w:t>payments.</w:t>
      </w:r>
      <w:r w:rsidR="00FC49F8">
        <w:rPr>
          <w:rFonts w:eastAsia="Abadi Extra Light" w:cs="Abadi Extra Light"/>
          <w:sz w:val="20"/>
          <w:szCs w:val="20"/>
        </w:rPr>
        <w:t xml:space="preserve"> In</w:t>
      </w:r>
      <w:r>
        <w:rPr>
          <w:rFonts w:eastAsia="Abadi Extra Light" w:cs="Abadi Extra Light"/>
          <w:sz w:val="20"/>
          <w:szCs w:val="20"/>
        </w:rPr>
        <w:t xml:space="preserve"> the financial year 2015/2016, OOP or household payments were the major source of revenue for health in Kenya contributing 39.6% of the </w:t>
      </w:r>
      <w:bookmarkStart w:id="13" w:name="_Hlk58368090"/>
      <w:r>
        <w:rPr>
          <w:rFonts w:eastAsia="Abadi Extra Light" w:cs="Abadi Extra Light"/>
          <w:sz w:val="20"/>
          <w:szCs w:val="20"/>
        </w:rPr>
        <w:t xml:space="preserve">Total Health Expenditure </w:t>
      </w:r>
      <w:bookmarkEnd w:id="13"/>
      <w:r>
        <w:rPr>
          <w:rFonts w:eastAsia="Abadi Extra Light" w:cs="Abadi Extra Light"/>
          <w:sz w:val="20"/>
          <w:szCs w:val="20"/>
        </w:rPr>
        <w:t xml:space="preserve">(THE) (NHA 2015/16). </w:t>
      </w:r>
    </w:p>
    <w:p w14:paraId="62DE10FB" w14:textId="77777777" w:rsidR="00086021" w:rsidRDefault="009E19AB" w:rsidP="00FC49F8">
      <w:pPr>
        <w:pStyle w:val="BodyText"/>
        <w:jc w:val="both"/>
        <w:rPr>
          <w:sz w:val="20"/>
          <w:szCs w:val="20"/>
        </w:rPr>
      </w:pPr>
      <w:r>
        <w:rPr>
          <w:sz w:val="20"/>
          <w:szCs w:val="20"/>
        </w:rPr>
        <w:t xml:space="preserve">Though known to be the least equitable form of financing, is most prevalent in low-income countries, which also have the lowest levels of government financing for health relative to the high-income countries. OOPs do not provide any financial risk protection, lead to catastrophic expenditure and impoverishment as well as provide a significant barrier to access to health care in LMICs. </w:t>
      </w:r>
    </w:p>
    <w:p w14:paraId="7C3E65BD" w14:textId="77777777" w:rsidR="00086021" w:rsidRDefault="009E19AB" w:rsidP="00FC49F8">
      <w:pPr>
        <w:pStyle w:val="BodyText"/>
        <w:jc w:val="both"/>
        <w:rPr>
          <w:sz w:val="20"/>
          <w:szCs w:val="20"/>
        </w:rPr>
      </w:pPr>
      <w:r>
        <w:rPr>
          <w:sz w:val="20"/>
          <w:szCs w:val="20"/>
        </w:rPr>
        <w:t>The restrictive impact of OOPs on health-care utilization is demonstrated by massive increase in the number of patients seeking health care (Maina, 2013) after the recent move by the government to eliminate user fees charged for maternity services and for services at dispensaries and health centres (Leftie, 2013).</w:t>
      </w:r>
    </w:p>
    <w:p w14:paraId="00D20DD5" w14:textId="77777777" w:rsidR="00086021" w:rsidRDefault="009E19AB">
      <w:pPr>
        <w:pStyle w:val="BodyText"/>
        <w:rPr>
          <w:sz w:val="20"/>
          <w:szCs w:val="20"/>
        </w:rPr>
      </w:pPr>
      <w:r>
        <w:rPr>
          <w:noProof/>
          <w:sz w:val="20"/>
          <w:szCs w:val="20"/>
        </w:rPr>
        <mc:AlternateContent>
          <mc:Choice Requires="wps">
            <w:drawing>
              <wp:anchor distT="0" distB="0" distL="0" distR="0" simplePos="0" relativeHeight="18" behindDoc="0" locked="0" layoutInCell="1" allowOverlap="1" wp14:anchorId="32F229B6" wp14:editId="0F370B8E">
                <wp:simplePos x="0" y="0"/>
                <wp:positionH relativeFrom="column">
                  <wp:posOffset>5080</wp:posOffset>
                </wp:positionH>
                <wp:positionV relativeFrom="paragraph">
                  <wp:posOffset>96520</wp:posOffset>
                </wp:positionV>
                <wp:extent cx="5748655" cy="1369060"/>
                <wp:effectExtent l="0" t="0" r="0" b="0"/>
                <wp:wrapNone/>
                <wp:docPr id="13" name="Shape2_3"/>
                <wp:cNvGraphicFramePr/>
                <a:graphic xmlns:a="http://schemas.openxmlformats.org/drawingml/2006/main">
                  <a:graphicData uri="http://schemas.microsoft.com/office/word/2010/wordprocessingShape">
                    <wps:wsp>
                      <wps:cNvSpPr/>
                      <wps:spPr>
                        <a:xfrm>
                          <a:off x="0" y="0"/>
                          <a:ext cx="5748120" cy="1368360"/>
                        </a:xfrm>
                        <a:prstGeom prst="rect">
                          <a:avLst/>
                        </a:prstGeom>
                        <a:solidFill>
                          <a:srgbClr val="C9211E">
                            <a:alpha val="15000"/>
                          </a:srgbClr>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c="http://schemas.openxmlformats.org/drawingml/2006/chart" xmlns:a1611="http://schemas.microsoft.com/office/drawing/2016/11/main" xmlns:a14="http://schemas.microsoft.com/office/drawing/2010/main" xmlns:pic="http://schemas.openxmlformats.org/drawingml/2006/picture" xmlns:a16="http://schemas.microsoft.com/office/drawing/2014/main" xmlns:a="http://schemas.openxmlformats.org/drawingml/2006/main">
            <w:pict w14:anchorId="59001B52">
              <v:rect id="Shape2_3" style="position:absolute;margin-left:.4pt;margin-top:7.6pt;width:452.65pt;height:107.8pt;z-index:18;visibility:visible;mso-wrap-style:square;mso-wrap-distance-left:0;mso-wrap-distance-top:0;mso-wrap-distance-right:0;mso-wrap-distance-bottom:0;mso-position-horizontal:absolute;mso-position-horizontal-relative:text;mso-position-vertical:absolute;mso-position-vertical-relative:text;v-text-anchor:top" o:spid="_x0000_s1026" fillcolor="#c9211e" stroked="f" w14:anchorId="56431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">
                <v:fill opacity="9766f"/>
              </v:rect>
            </w:pict>
          </mc:Fallback>
        </mc:AlternateContent>
      </w:r>
    </w:p>
    <w:p w14:paraId="156955C2" w14:textId="77777777" w:rsidR="00086021" w:rsidRDefault="009E19AB">
      <w:pPr>
        <w:pStyle w:val="BodyText"/>
        <w:ind w:left="540"/>
        <w:rPr>
          <w:b/>
          <w:bCs/>
          <w:sz w:val="24"/>
        </w:rPr>
      </w:pPr>
      <w:r>
        <w:rPr>
          <w:b/>
          <w:bCs/>
          <w:sz w:val="24"/>
        </w:rPr>
        <w:t>Advocacy Opportunity for Financial Protection</w:t>
      </w:r>
    </w:p>
    <w:p w14:paraId="050BC1DB" w14:textId="77777777" w:rsidR="00086021" w:rsidRDefault="009E19AB">
      <w:pPr>
        <w:pStyle w:val="BodyText"/>
        <w:ind w:left="540" w:right="360"/>
        <w:rPr>
          <w:sz w:val="20"/>
          <w:szCs w:val="20"/>
        </w:rPr>
      </w:pPr>
      <w:r>
        <w:rPr>
          <w:sz w:val="20"/>
          <w:szCs w:val="20"/>
        </w:rPr>
        <w:t>The predominance of OOP payments as a health financing source in Kenya poses a significant threat of financial hardship for the public especially in light of donor transition.</w:t>
      </w:r>
    </w:p>
    <w:p w14:paraId="2F18AD63" w14:textId="77777777" w:rsidR="00086021" w:rsidRDefault="009E19AB">
      <w:pPr>
        <w:pStyle w:val="BodyText"/>
        <w:ind w:left="540"/>
        <w:rPr>
          <w:sz w:val="20"/>
          <w:szCs w:val="20"/>
        </w:rPr>
      </w:pPr>
      <w:r>
        <w:rPr>
          <w:sz w:val="20"/>
          <w:szCs w:val="20"/>
        </w:rPr>
        <w:t>This presents an advocacy opportunity for financial protection of the vulnerable in society including KPs and AGYWs through government financing of healthcare.</w:t>
      </w:r>
    </w:p>
    <w:p w14:paraId="60C08159" w14:textId="77777777" w:rsidR="00086021" w:rsidRDefault="00086021">
      <w:pPr>
        <w:pStyle w:val="BodyText"/>
        <w:ind w:left="540"/>
        <w:rPr>
          <w:sz w:val="20"/>
          <w:szCs w:val="20"/>
        </w:rPr>
      </w:pPr>
    </w:p>
    <w:p w14:paraId="542F1560" w14:textId="77777777" w:rsidR="00086021" w:rsidRDefault="009E19AB">
      <w:pPr>
        <w:pStyle w:val="Heading5"/>
        <w:ind w:left="720"/>
      </w:pPr>
      <w:r>
        <w:t>b) Tax-based financing</w:t>
      </w:r>
    </w:p>
    <w:p w14:paraId="2D53E489" w14:textId="77777777" w:rsidR="00086021" w:rsidRDefault="00086021"/>
    <w:p w14:paraId="06731B63" w14:textId="77777777" w:rsidR="00086021" w:rsidRDefault="009E19AB" w:rsidP="00FC49F8">
      <w:pPr>
        <w:pStyle w:val="BodyText"/>
        <w:jc w:val="both"/>
        <w:rPr>
          <w:sz w:val="20"/>
          <w:szCs w:val="20"/>
        </w:rPr>
      </w:pPr>
      <w:r>
        <w:rPr>
          <w:rFonts w:eastAsia="Abadi Extra Light" w:cs="Abadi Extra Light"/>
          <w:sz w:val="20"/>
          <w:szCs w:val="20"/>
        </w:rPr>
        <w:lastRenderedPageBreak/>
        <w:t xml:space="preserve">Health care services can be purchased through general government revenue and taxes which include income tax, value added tax, corporate tax, import duties, ear-marked taxes etc. The Kenya Revenue Authority (KRA) is the principal tax-collecting agency in Kenya. According to KRA, in FY 2018/19, income tax was the main form of direct tax (46.7%) and it was charged on a progressive scale. Indirect taxes included value added tax (VAT) accounting for 27.8%, excise duty (13.3%) </w:t>
      </w:r>
      <w:r>
        <w:rPr>
          <w:rFonts w:eastAsia="Abadi Extra Light" w:cs="Abadi Extra Light"/>
          <w:i/>
          <w:iCs/>
          <w:sz w:val="20"/>
          <w:szCs w:val="20"/>
        </w:rPr>
        <w:t>inter alia</w:t>
      </w:r>
      <w:r>
        <w:rPr>
          <w:rFonts w:eastAsia="Abadi Extra Light" w:cs="Abadi Extra Light"/>
          <w:sz w:val="20"/>
          <w:szCs w:val="20"/>
        </w:rPr>
        <w:t>. Indirect taxes usually tend to be regressive hence an unsuitable source of health financing. There is no government revenue earmarked for health care in Kenya yet (Munge, 2014) despite previous proposals for earmarked funding for health care through a tax on mobile phone airtime (Gathura, 2012) and betting revenues (GOK, 2019).</w:t>
      </w:r>
    </w:p>
    <w:p w14:paraId="08EE609D" w14:textId="3AE0E1A5" w:rsidR="00086021" w:rsidRDefault="009E19AB" w:rsidP="00FC49F8">
      <w:pPr>
        <w:pStyle w:val="BodyText"/>
        <w:jc w:val="both"/>
        <w:rPr>
          <w:sz w:val="20"/>
          <w:szCs w:val="20"/>
        </w:rPr>
      </w:pPr>
      <w:r>
        <w:rPr>
          <w:sz w:val="20"/>
          <w:szCs w:val="20"/>
        </w:rPr>
        <w:t>The government has been increasingly shouldering a greater responsibility in revenue raising as shown in Figure 7. Government spending contributed 37% of THE in 2015/16 (NHA 2015/16). Despite the increasing commitment by the government towards health spending, the health sector remains grossly underfunded (Barasa et al, 2018).</w:t>
      </w:r>
    </w:p>
    <w:p w14:paraId="603D4B75" w14:textId="77777777" w:rsidR="00FC49F8" w:rsidRDefault="00FC49F8" w:rsidP="00FC49F8">
      <w:pPr>
        <w:pStyle w:val="BodyText"/>
        <w:jc w:val="both"/>
        <w:rPr>
          <w:sz w:val="20"/>
          <w:szCs w:val="20"/>
        </w:rPr>
      </w:pPr>
    </w:p>
    <w:p w14:paraId="3BFD0AA0" w14:textId="69C4E78A" w:rsidR="00086021" w:rsidRPr="00FC49F8" w:rsidRDefault="009E19AB">
      <w:pPr>
        <w:pStyle w:val="Figure"/>
        <w:rPr>
          <w:b/>
          <w:bCs/>
          <w:sz w:val="18"/>
          <w:szCs w:val="18"/>
        </w:rPr>
      </w:pPr>
      <w:r w:rsidRPr="00FC49F8">
        <w:rPr>
          <w:b/>
          <w:bCs/>
          <w:sz w:val="18"/>
          <w:szCs w:val="18"/>
        </w:rPr>
        <w:t>Figure 8:</w:t>
      </w:r>
      <w:r w:rsidR="00FC49F8" w:rsidRPr="00FC49F8">
        <w:rPr>
          <w:b/>
          <w:bCs/>
          <w:sz w:val="18"/>
          <w:szCs w:val="18"/>
        </w:rPr>
        <w:t xml:space="preserve"> The government’s public spending on health (GHE)</w:t>
      </w:r>
      <w:r w:rsidRPr="00FC49F8">
        <w:rPr>
          <w:b/>
          <w:bCs/>
          <w:sz w:val="18"/>
          <w:szCs w:val="18"/>
        </w:rPr>
        <w:t xml:space="preserve"> as a % of GDP</w:t>
      </w:r>
    </w:p>
    <w:p w14:paraId="758D80AD" w14:textId="77777777" w:rsidR="00086021" w:rsidRDefault="009E19AB">
      <w:pPr>
        <w:pStyle w:val="Figure"/>
      </w:pPr>
      <w:r>
        <w:rPr>
          <w:noProof/>
        </w:rPr>
        <w:drawing>
          <wp:inline distT="0" distB="0" distL="0" distR="0" wp14:anchorId="4DC2F14B" wp14:editId="2BFA5DAA">
            <wp:extent cx="5753735" cy="1911350"/>
            <wp:effectExtent l="0" t="0" r="18415" b="12700"/>
            <wp:docPr id="14" name="Object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08E63E8" w14:textId="77777777" w:rsidR="00086021" w:rsidRDefault="009E19AB">
      <w:pPr>
        <w:pStyle w:val="BodyText"/>
        <w:rPr>
          <w:rFonts w:eastAsia="Abadi Extra Light" w:cs="Abadi Extra Light"/>
          <w:i/>
          <w:iCs/>
          <w:sz w:val="16"/>
          <w:szCs w:val="16"/>
        </w:rPr>
      </w:pPr>
      <w:r>
        <w:rPr>
          <w:rFonts w:eastAsia="Abadi Extra Light" w:cs="Abadi Extra Light"/>
          <w:i/>
          <w:iCs/>
          <w:sz w:val="16"/>
          <w:szCs w:val="16"/>
        </w:rPr>
        <w:t>Source: National Health Accounts 2019; National Treasury; Economic Survey 2020; Office of the Controller of Budget 2019.</w:t>
      </w:r>
    </w:p>
    <w:p w14:paraId="424D43AB" w14:textId="77777777" w:rsidR="00FC49F8" w:rsidRDefault="00FC49F8">
      <w:pPr>
        <w:pStyle w:val="BodyText"/>
        <w:rPr>
          <w:rFonts w:eastAsia="Abadi Extra Light" w:cs="Abadi Extra Light"/>
          <w:sz w:val="20"/>
          <w:szCs w:val="20"/>
        </w:rPr>
      </w:pPr>
      <w:bookmarkStart w:id="14" w:name="_Hlk58368167"/>
    </w:p>
    <w:p w14:paraId="019BAD40" w14:textId="2A84C383" w:rsidR="00086021" w:rsidRDefault="009E19AB" w:rsidP="00FC49F8">
      <w:pPr>
        <w:pStyle w:val="BodyText"/>
        <w:jc w:val="both"/>
        <w:rPr>
          <w:sz w:val="20"/>
          <w:szCs w:val="20"/>
        </w:rPr>
      </w:pPr>
      <w:r>
        <w:rPr>
          <w:rFonts w:eastAsia="Abadi Extra Light" w:cs="Abadi Extra Light"/>
          <w:sz w:val="20"/>
          <w:szCs w:val="20"/>
        </w:rPr>
        <w:t>The government’s public spending on health (GHE</w:t>
      </w:r>
      <w:bookmarkEnd w:id="14"/>
      <w:r>
        <w:rPr>
          <w:rFonts w:eastAsia="Abadi Extra Light" w:cs="Abadi Extra Light"/>
          <w:sz w:val="20"/>
          <w:szCs w:val="20"/>
        </w:rPr>
        <w:t>) as a proportion of the GDP was estimated to be between 1.5% (FY2015/16) and 1.73% (FY2018/19) against the recommended level of 5% required to achieve UHC (McIntyre et al, 2014). See figure 8. This translated to an average GHE per capita of Kshs. 2434 (USD22.5) in FY2015/16 and Kshs. 4841(USD 44.7) in FY2019/20</w:t>
      </w:r>
      <w:r>
        <w:rPr>
          <w:rStyle w:val="FootnoteAnchor"/>
          <w:rFonts w:eastAsia="Abadi Extra Light" w:cs="Abadi Extra Light"/>
          <w:sz w:val="20"/>
          <w:szCs w:val="20"/>
        </w:rPr>
        <w:footnoteReference w:id="2"/>
      </w:r>
      <w:r>
        <w:rPr>
          <w:rFonts w:eastAsia="Abadi Extra Light" w:cs="Abadi Extra Light"/>
          <w:sz w:val="20"/>
          <w:szCs w:val="20"/>
        </w:rPr>
        <w:t>. The GHE per capita remains extremely low compared to the recommended minimum of USD 86 necessary to achieve Universal Health Coverag</w:t>
      </w:r>
      <w:bookmarkStart w:id="15" w:name="_Hlk51856831"/>
      <w:bookmarkEnd w:id="15"/>
      <w:r>
        <w:rPr>
          <w:rFonts w:eastAsia="Abadi Extra Light" w:cs="Abadi Extra Light"/>
          <w:sz w:val="20"/>
          <w:szCs w:val="20"/>
        </w:rPr>
        <w:t xml:space="preserve">e (McIntyre et al, 2014). </w:t>
      </w:r>
    </w:p>
    <w:p w14:paraId="4C522E4A" w14:textId="77777777" w:rsidR="00086021" w:rsidRDefault="009E19AB" w:rsidP="00FC49F8">
      <w:pPr>
        <w:pStyle w:val="BodyText"/>
        <w:jc w:val="both"/>
        <w:rPr>
          <w:sz w:val="20"/>
          <w:szCs w:val="20"/>
        </w:rPr>
      </w:pPr>
      <w:r>
        <w:rPr>
          <w:sz w:val="20"/>
          <w:szCs w:val="20"/>
        </w:rPr>
        <w:t>Further, the GHE as a proportion of the total government expenditure, was estimated to range between 5.1% (FY2015/16) and 7.1% (FY2019/20) as shown in Figure 9. These proportions fell significantly below the recommended threshold of 15% as proposed in the Abuja Declaration (WHO, 2001).</w:t>
      </w:r>
    </w:p>
    <w:p w14:paraId="07C6B603" w14:textId="77777777" w:rsidR="00086021" w:rsidRDefault="00086021">
      <w:pPr>
        <w:pStyle w:val="BodyText"/>
        <w:rPr>
          <w:sz w:val="20"/>
          <w:szCs w:val="20"/>
        </w:rPr>
      </w:pPr>
    </w:p>
    <w:p w14:paraId="6D4149F5" w14:textId="77777777" w:rsidR="00086021" w:rsidRDefault="009E19AB" w:rsidP="00FC49F8">
      <w:pPr>
        <w:pStyle w:val="Heading2"/>
        <w:jc w:val="center"/>
        <w:rPr>
          <w:color w:val="C9211E"/>
        </w:rPr>
      </w:pPr>
      <w:r>
        <w:rPr>
          <w:color w:val="C9211E"/>
        </w:rPr>
        <w:t>The GHE per capita of USD 22.5 to USD 44.7...remains extremely low compared to the recommended minimum of USD 86 necessary to achieve Universal Health Coverage.</w:t>
      </w:r>
    </w:p>
    <w:p w14:paraId="7CBF3708" w14:textId="77777777" w:rsidR="00086021" w:rsidRDefault="00086021" w:rsidP="00FC49F8">
      <w:pPr>
        <w:jc w:val="center"/>
      </w:pPr>
    </w:p>
    <w:p w14:paraId="4EAF3800" w14:textId="77777777" w:rsidR="00086021" w:rsidRDefault="00086021" w:rsidP="00FC49F8">
      <w:pPr>
        <w:jc w:val="center"/>
      </w:pPr>
    </w:p>
    <w:p w14:paraId="330428D9" w14:textId="77777777" w:rsidR="00086021" w:rsidRDefault="00086021">
      <w:pPr>
        <w:jc w:val="center"/>
      </w:pPr>
    </w:p>
    <w:p w14:paraId="419FE64C" w14:textId="77777777" w:rsidR="00086021" w:rsidRDefault="00086021">
      <w:pPr>
        <w:rPr>
          <w:sz w:val="20"/>
          <w:szCs w:val="20"/>
        </w:rPr>
        <w:sectPr w:rsidR="00086021">
          <w:headerReference w:type="default" r:id="rId29"/>
          <w:footerReference w:type="default" r:id="rId30"/>
          <w:footerReference w:type="first" r:id="rId31"/>
          <w:pgSz w:w="11906" w:h="16838"/>
          <w:pgMar w:top="1440" w:right="1440" w:bottom="1198" w:left="1440" w:header="0" w:footer="708" w:gutter="0"/>
          <w:cols w:space="720"/>
          <w:formProt w:val="0"/>
          <w:titlePg/>
          <w:docGrid w:linePitch="360" w:charSpace="12288"/>
        </w:sectPr>
      </w:pPr>
    </w:p>
    <w:p w14:paraId="2E52C6CE" w14:textId="77777777" w:rsidR="00086021" w:rsidRPr="00FC49F8" w:rsidRDefault="009E19AB">
      <w:pPr>
        <w:pStyle w:val="Figure"/>
        <w:rPr>
          <w:b/>
          <w:bCs/>
          <w:sz w:val="18"/>
          <w:szCs w:val="18"/>
        </w:rPr>
      </w:pPr>
      <w:r w:rsidRPr="00FC49F8">
        <w:rPr>
          <w:b/>
          <w:bCs/>
          <w:sz w:val="18"/>
          <w:szCs w:val="18"/>
        </w:rPr>
        <w:lastRenderedPageBreak/>
        <w:t>Figure 9: Trends in GHE to Total Government Expenditure</w:t>
      </w:r>
    </w:p>
    <w:p w14:paraId="38A19478" w14:textId="77777777" w:rsidR="00086021" w:rsidRDefault="009E19AB">
      <w:pPr>
        <w:pStyle w:val="Figure"/>
      </w:pPr>
      <w:r>
        <w:rPr>
          <w:noProof/>
        </w:rPr>
        <w:drawing>
          <wp:inline distT="0" distB="0" distL="0" distR="0" wp14:anchorId="524A4E3A" wp14:editId="07A7F631">
            <wp:extent cx="5740400" cy="1923415"/>
            <wp:effectExtent l="0" t="0" r="0" b="0"/>
            <wp:docPr id="15" name="Object7" descr="OLE-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ject7" descr="OLE-object"/>
                    <pic:cNvPicPr>
                      <a:picLocks noChangeAspect="1" noChangeArrowheads="1"/>
                    </pic:cNvPicPr>
                  </pic:nvPicPr>
                  <pic:blipFill>
                    <a:blip r:embed="rId32"/>
                    <a:stretch>
                      <a:fillRect/>
                    </a:stretch>
                  </pic:blipFill>
                  <pic:spPr bwMode="auto">
                    <a:xfrm>
                      <a:off x="0" y="0"/>
                      <a:ext cx="5740400" cy="1923415"/>
                    </a:xfrm>
                    <a:prstGeom prst="rect">
                      <a:avLst/>
                    </a:prstGeom>
                  </pic:spPr>
                </pic:pic>
              </a:graphicData>
            </a:graphic>
          </wp:inline>
        </w:drawing>
      </w:r>
    </w:p>
    <w:p w14:paraId="29C98BF3" w14:textId="77777777" w:rsidR="00086021" w:rsidRDefault="009E19AB">
      <w:pPr>
        <w:pStyle w:val="BodyText"/>
        <w:rPr>
          <w:i/>
          <w:iCs/>
          <w:sz w:val="16"/>
          <w:szCs w:val="16"/>
        </w:rPr>
      </w:pPr>
      <w:r>
        <w:rPr>
          <w:i/>
          <w:iCs/>
          <w:sz w:val="16"/>
          <w:szCs w:val="16"/>
        </w:rPr>
        <w:t>Source: National Health Accounts 2019; National Treasury; Economic Survey 2020; Office of the Controller of Budget 2019.</w:t>
      </w:r>
    </w:p>
    <w:p w14:paraId="340AA047" w14:textId="77777777" w:rsidR="00086021" w:rsidRDefault="00086021">
      <w:pPr>
        <w:pStyle w:val="FrameContents"/>
        <w:jc w:val="center"/>
        <w:rPr>
          <w:rFonts w:ascii="Franklin Gothic Demi" w:hAnsi="Franklin Gothic Demi"/>
          <w:color w:val="0070C0"/>
        </w:rPr>
      </w:pPr>
    </w:p>
    <w:p w14:paraId="16B383B6" w14:textId="77777777" w:rsidR="00086021" w:rsidRDefault="009E19AB">
      <w:pPr>
        <w:pStyle w:val="BodyText"/>
        <w:ind w:left="540"/>
        <w:rPr>
          <w:b/>
          <w:bCs/>
          <w:sz w:val="24"/>
        </w:rPr>
      </w:pPr>
      <w:r>
        <w:rPr>
          <w:b/>
          <w:bCs/>
          <w:noProof/>
          <w:sz w:val="24"/>
        </w:rPr>
        <mc:AlternateContent>
          <mc:Choice Requires="wps">
            <w:drawing>
              <wp:anchor distT="0" distB="0" distL="0" distR="0" simplePos="0" relativeHeight="21" behindDoc="0" locked="0" layoutInCell="1" allowOverlap="1" wp14:anchorId="519C7796" wp14:editId="7AA4A1C3">
                <wp:simplePos x="0" y="0"/>
                <wp:positionH relativeFrom="column">
                  <wp:posOffset>-4445</wp:posOffset>
                </wp:positionH>
                <wp:positionV relativeFrom="paragraph">
                  <wp:posOffset>68580</wp:posOffset>
                </wp:positionV>
                <wp:extent cx="5748655" cy="1369060"/>
                <wp:effectExtent l="0" t="0" r="0" b="0"/>
                <wp:wrapNone/>
                <wp:docPr id="16" name="Shape2_4"/>
                <wp:cNvGraphicFramePr/>
                <a:graphic xmlns:a="http://schemas.openxmlformats.org/drawingml/2006/main">
                  <a:graphicData uri="http://schemas.microsoft.com/office/word/2010/wordprocessingShape">
                    <wps:wsp>
                      <wps:cNvSpPr/>
                      <wps:spPr>
                        <a:xfrm>
                          <a:off x="0" y="0"/>
                          <a:ext cx="5748120" cy="1368360"/>
                        </a:xfrm>
                        <a:prstGeom prst="rect">
                          <a:avLst/>
                        </a:prstGeom>
                        <a:solidFill>
                          <a:srgbClr val="C9211E">
                            <a:alpha val="15000"/>
                          </a:srgbClr>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c="http://schemas.openxmlformats.org/drawingml/2006/chart" xmlns:a1611="http://schemas.microsoft.com/office/drawing/2016/11/main" xmlns:a14="http://schemas.microsoft.com/office/drawing/2010/main" xmlns:pic="http://schemas.openxmlformats.org/drawingml/2006/picture" xmlns:a16="http://schemas.microsoft.com/office/drawing/2014/main" xmlns:a="http://schemas.openxmlformats.org/drawingml/2006/main">
            <w:pict w14:anchorId="6DBDEDDA">
              <v:rect id="Shape2_4" style="position:absolute;margin-left:-.35pt;margin-top:5.4pt;width:452.65pt;height:107.8pt;z-index:21;visibility:visible;mso-wrap-style:square;mso-wrap-distance-left:0;mso-wrap-distance-top:0;mso-wrap-distance-right:0;mso-wrap-distance-bottom:0;mso-position-horizontal:absolute;mso-position-horizontal-relative:text;mso-position-vertical:absolute;mso-position-vertical-relative:text;v-text-anchor:top" o:spid="_x0000_s1026" fillcolor="#c9211e" stroked="f" w14:anchorId="73C072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">
                <v:fill opacity="9766f"/>
              </v:rect>
            </w:pict>
          </mc:Fallback>
        </mc:AlternateContent>
      </w:r>
    </w:p>
    <w:p w14:paraId="7FD08E44" w14:textId="77777777" w:rsidR="00086021" w:rsidRDefault="009E19AB">
      <w:pPr>
        <w:pStyle w:val="BodyText"/>
        <w:ind w:left="540"/>
        <w:rPr>
          <w:b/>
          <w:bCs/>
          <w:sz w:val="24"/>
        </w:rPr>
      </w:pPr>
      <w:r>
        <w:rPr>
          <w:b/>
          <w:bCs/>
          <w:sz w:val="24"/>
        </w:rPr>
        <w:t>Advocacy Opportunity for Increased Government Allocations to Health</w:t>
      </w:r>
    </w:p>
    <w:p w14:paraId="7EEECCE5" w14:textId="77777777" w:rsidR="00086021" w:rsidRDefault="009E19AB">
      <w:pPr>
        <w:pStyle w:val="BodyText"/>
        <w:ind w:left="540" w:right="360"/>
        <w:rPr>
          <w:sz w:val="20"/>
          <w:szCs w:val="20"/>
        </w:rPr>
      </w:pPr>
      <w:r>
        <w:rPr>
          <w:sz w:val="20"/>
          <w:szCs w:val="20"/>
        </w:rPr>
        <w:t>The low government budget allocation to health below the recommended threshold threatens access to quality health and sustainability of health interventions. This presents an opportunity for advocacy for increased allocations and ring fencing of funds for health by government at both national and county level.</w:t>
      </w:r>
    </w:p>
    <w:p w14:paraId="2A3779AF" w14:textId="77777777" w:rsidR="00086021" w:rsidRDefault="00086021">
      <w:pPr>
        <w:pStyle w:val="BodyText"/>
        <w:ind w:left="540" w:right="360"/>
        <w:rPr>
          <w:sz w:val="20"/>
          <w:szCs w:val="20"/>
        </w:rPr>
      </w:pPr>
    </w:p>
    <w:p w14:paraId="2D43F83B" w14:textId="77777777" w:rsidR="00086021" w:rsidRDefault="009E19AB">
      <w:pPr>
        <w:pStyle w:val="Heading5"/>
        <w:ind w:left="720"/>
      </w:pPr>
      <w:r>
        <w:t>c) Donor Funding</w:t>
      </w:r>
    </w:p>
    <w:p w14:paraId="2396B81E" w14:textId="77777777" w:rsidR="00086021" w:rsidRDefault="00086021"/>
    <w:p w14:paraId="682211B7" w14:textId="77777777" w:rsidR="00086021" w:rsidRDefault="009E19AB" w:rsidP="00FC49F8">
      <w:pPr>
        <w:pStyle w:val="BodyText"/>
        <w:jc w:val="both"/>
        <w:rPr>
          <w:sz w:val="20"/>
          <w:szCs w:val="20"/>
        </w:rPr>
      </w:pPr>
      <w:bookmarkStart w:id="16" w:name="_1ci93xb"/>
      <w:bookmarkEnd w:id="16"/>
      <w:r>
        <w:rPr>
          <w:sz w:val="20"/>
          <w:szCs w:val="20"/>
        </w:rPr>
        <w:t>Following the country’s reclassification from low income to low middle-income status, there has been a steady decline of donor funding (World Bank Group, 2015; MOH, 2019). The donor funding which stood at 31% in 2005/2006 had decreased to 23.4% by 2015/16 (NHA 2015/16) as shown in figure 7. Donor funding provides general budgetary support and supports specific programmes such as HIV/AIDS, Malaria, and Tuberculosis programmes. Donor funding is usually channeled through the central government (on-budget development partner support) or directly managed by the development partners or their agencies (off-budget development partner’s support).</w:t>
      </w:r>
    </w:p>
    <w:p w14:paraId="7E0E89DF" w14:textId="77777777" w:rsidR="00086021" w:rsidRDefault="009E19AB" w:rsidP="00FC49F8">
      <w:pPr>
        <w:pStyle w:val="BodyText"/>
        <w:jc w:val="both"/>
        <w:rPr>
          <w:b/>
          <w:bCs/>
          <w:sz w:val="20"/>
          <w:szCs w:val="20"/>
        </w:rPr>
      </w:pPr>
      <w:bookmarkStart w:id="17" w:name="_z337ya"/>
      <w:bookmarkEnd w:id="17"/>
      <w:r>
        <w:rPr>
          <w:b/>
          <w:bCs/>
          <w:sz w:val="20"/>
          <w:szCs w:val="20"/>
        </w:rPr>
        <w:t>Revenue Raising for KP and AGYW Programs</w:t>
      </w:r>
    </w:p>
    <w:p w14:paraId="0ECC1B8A" w14:textId="77777777" w:rsidR="00086021" w:rsidRDefault="009E19AB" w:rsidP="00FC49F8">
      <w:pPr>
        <w:pStyle w:val="BodyText"/>
        <w:jc w:val="both"/>
        <w:rPr>
          <w:sz w:val="20"/>
          <w:szCs w:val="20"/>
        </w:rPr>
      </w:pPr>
      <w:r>
        <w:rPr>
          <w:sz w:val="20"/>
          <w:szCs w:val="20"/>
        </w:rPr>
        <w:t xml:space="preserve">Donor funding has been significant in supporting implementation of comprehensive HIV programs to reduce HIV burden among KPs. External funding accounted for 73% of HIV spending in 2012/13; 60% between 2018 and 2020 (Chaitkin et al, 2017); and 91.3% for FY20/21 (76.8% PEPFAR, 14.5% GF) (PEPFAR, 2020). Funds for HIV prevention among KPs and AGYW were noted to come from three main sources: PEPFAR, Global Fund, and domestic funds. </w:t>
      </w:r>
    </w:p>
    <w:p w14:paraId="4749236C" w14:textId="77777777" w:rsidR="00086021" w:rsidRDefault="009E19AB" w:rsidP="00FC49F8">
      <w:pPr>
        <w:pStyle w:val="BodyText"/>
        <w:jc w:val="both"/>
        <w:rPr>
          <w:sz w:val="20"/>
          <w:szCs w:val="20"/>
        </w:rPr>
      </w:pPr>
      <w:r>
        <w:rPr>
          <w:rFonts w:eastAsia="Abadi Extra Light" w:cs="Abadi Extra Light"/>
          <w:sz w:val="20"/>
          <w:szCs w:val="20"/>
        </w:rPr>
        <w:t xml:space="preserve">PEPFAR plays the predominant role in HIV funding in Kenya accounting for 86% of the donor funding for HIV between 2018 and 2020 (Kenya Coordinating Mechanism, 2017; Chaitkin et al, 2017). </w:t>
      </w:r>
      <w:r>
        <w:rPr>
          <w:rFonts w:eastAsia="Arial" w:cs="Arial"/>
          <w:sz w:val="20"/>
          <w:szCs w:val="20"/>
        </w:rPr>
        <w:t xml:space="preserve">Other sources include: The Bill and Melinda Gates Foundation, UHAI, Viiv Healthcare, Mama Kash, Gilead Sciences </w:t>
      </w:r>
      <w:r>
        <w:rPr>
          <w:rFonts w:eastAsia="Arial" w:cs="Arial"/>
          <w:i/>
          <w:iCs/>
          <w:sz w:val="20"/>
          <w:szCs w:val="20"/>
        </w:rPr>
        <w:t>inter alia</w:t>
      </w:r>
      <w:r>
        <w:rPr>
          <w:rFonts w:eastAsia="Arial" w:cs="Arial"/>
          <w:sz w:val="20"/>
          <w:szCs w:val="20"/>
        </w:rPr>
        <w:t>.</w:t>
      </w:r>
    </w:p>
    <w:p w14:paraId="5BE0B91B" w14:textId="77777777" w:rsidR="00086021" w:rsidRDefault="009E19AB" w:rsidP="00FC49F8">
      <w:pPr>
        <w:pStyle w:val="BodyText"/>
        <w:jc w:val="both"/>
        <w:rPr>
          <w:sz w:val="20"/>
          <w:szCs w:val="20"/>
        </w:rPr>
      </w:pPr>
      <w:r>
        <w:rPr>
          <w:sz w:val="20"/>
          <w:szCs w:val="20"/>
        </w:rPr>
        <w:t>Efficiency in financing KP and AGYW interventions is hampered by the lack of integration of financing sources as well as implementation across the national and county governments, and across the public and private health sectors (Chaitkin et al, 2017).</w:t>
      </w:r>
      <w:r>
        <w:br w:type="page"/>
      </w:r>
    </w:p>
    <w:p w14:paraId="572A169A" w14:textId="77777777" w:rsidR="00086021" w:rsidRDefault="009E19AB">
      <w:pPr>
        <w:pStyle w:val="Quote"/>
      </w:pPr>
      <w:r>
        <w:lastRenderedPageBreak/>
        <w:t>“There is a lot of fragmentation in the funding, data management and implementation of KP and AGYW programs in the country. This cuts across the MOH, Counties and the private facilities.” – Implementing Partner</w:t>
      </w:r>
    </w:p>
    <w:p w14:paraId="04B1EAF7" w14:textId="77777777" w:rsidR="00086021" w:rsidRDefault="00086021">
      <w:pPr>
        <w:rPr>
          <w:sz w:val="20"/>
          <w:szCs w:val="20"/>
        </w:rPr>
      </w:pPr>
    </w:p>
    <w:p w14:paraId="388FB11D" w14:textId="77777777" w:rsidR="00086021" w:rsidRDefault="009E19AB" w:rsidP="00FC49F8">
      <w:pPr>
        <w:pStyle w:val="BodyText"/>
        <w:jc w:val="both"/>
        <w:rPr>
          <w:sz w:val="20"/>
          <w:szCs w:val="20"/>
        </w:rPr>
      </w:pPr>
      <w:r>
        <w:rPr>
          <w:sz w:val="20"/>
          <w:szCs w:val="20"/>
        </w:rPr>
        <w:t xml:space="preserve">Noteworthy, in FY 2015/16, the Government did not fund any programs targeted at KPs and other priority populations, hence these were exclusively funded externally (PEPFAR, 2017; Chaitkin et al, 2017).  </w:t>
      </w:r>
    </w:p>
    <w:p w14:paraId="7B8A85E4" w14:textId="77777777" w:rsidR="00086021" w:rsidRDefault="009E19AB">
      <w:pPr>
        <w:pStyle w:val="BodyText"/>
        <w:rPr>
          <w:sz w:val="20"/>
          <w:szCs w:val="20"/>
        </w:rPr>
      </w:pPr>
      <w:r>
        <w:rPr>
          <w:noProof/>
          <w:sz w:val="20"/>
          <w:szCs w:val="20"/>
        </w:rPr>
        <mc:AlternateContent>
          <mc:Choice Requires="wps">
            <w:drawing>
              <wp:anchor distT="0" distB="0" distL="0" distR="0" simplePos="0" relativeHeight="22" behindDoc="0" locked="0" layoutInCell="1" allowOverlap="1" wp14:anchorId="18DEA1BD" wp14:editId="2FEF98B7">
                <wp:simplePos x="0" y="0"/>
                <wp:positionH relativeFrom="column">
                  <wp:posOffset>24130</wp:posOffset>
                </wp:positionH>
                <wp:positionV relativeFrom="paragraph">
                  <wp:posOffset>82550</wp:posOffset>
                </wp:positionV>
                <wp:extent cx="5748655" cy="1661160"/>
                <wp:effectExtent l="0" t="0" r="0" b="0"/>
                <wp:wrapNone/>
                <wp:docPr id="17" name="Shape2_5"/>
                <wp:cNvGraphicFramePr/>
                <a:graphic xmlns:a="http://schemas.openxmlformats.org/drawingml/2006/main">
                  <a:graphicData uri="http://schemas.microsoft.com/office/word/2010/wordprocessingShape">
                    <wps:wsp>
                      <wps:cNvSpPr/>
                      <wps:spPr>
                        <a:xfrm>
                          <a:off x="0" y="0"/>
                          <a:ext cx="5748120" cy="1660680"/>
                        </a:xfrm>
                        <a:prstGeom prst="rect">
                          <a:avLst/>
                        </a:prstGeom>
                        <a:solidFill>
                          <a:srgbClr val="C9211E">
                            <a:alpha val="15000"/>
                          </a:srgbClr>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c="http://schemas.openxmlformats.org/drawingml/2006/chart" xmlns:a1611="http://schemas.microsoft.com/office/drawing/2016/11/main" xmlns:a14="http://schemas.microsoft.com/office/drawing/2010/main" xmlns:pic="http://schemas.openxmlformats.org/drawingml/2006/picture" xmlns:a16="http://schemas.microsoft.com/office/drawing/2014/main" xmlns:a="http://schemas.openxmlformats.org/drawingml/2006/main">
            <w:pict w14:anchorId="2A4F43AC">
              <v:rect id="Shape2_5" style="position:absolute;margin-left:1.9pt;margin-top:6.5pt;width:452.65pt;height:130.8pt;z-index:22;visibility:visible;mso-wrap-style:square;mso-wrap-distance-left:0;mso-wrap-distance-top:0;mso-wrap-distance-right:0;mso-wrap-distance-bottom:0;mso-position-horizontal:absolute;mso-position-horizontal-relative:text;mso-position-vertical:absolute;mso-position-vertical-relative:text;v-text-anchor:top" o:spid="_x0000_s1026" fillcolor="#c9211e" stroked="f" w14:anchorId="2899B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">
                <v:fill opacity="9766f"/>
              </v:rect>
            </w:pict>
          </mc:Fallback>
        </mc:AlternateContent>
      </w:r>
    </w:p>
    <w:p w14:paraId="0C3F6C4D" w14:textId="77777777" w:rsidR="00086021" w:rsidRDefault="009E19AB">
      <w:pPr>
        <w:pStyle w:val="BodyText"/>
        <w:ind w:left="540"/>
        <w:rPr>
          <w:b/>
          <w:bCs/>
          <w:sz w:val="24"/>
        </w:rPr>
      </w:pPr>
      <w:r>
        <w:rPr>
          <w:b/>
          <w:bCs/>
          <w:sz w:val="24"/>
        </w:rPr>
        <w:t>Advocacy Opportunity for Increased Government Funding for KP and AGYW Programs</w:t>
      </w:r>
    </w:p>
    <w:p w14:paraId="782A6BCF" w14:textId="77777777" w:rsidR="00086021" w:rsidRDefault="009E19AB">
      <w:pPr>
        <w:pStyle w:val="BodyText"/>
        <w:ind w:left="540" w:right="360"/>
        <w:rPr>
          <w:rFonts w:eastAsia="Abadi Extra Light" w:cs="Abadi Extra Light"/>
          <w:sz w:val="20"/>
          <w:szCs w:val="20"/>
        </w:rPr>
      </w:pPr>
      <w:r>
        <w:rPr>
          <w:rFonts w:eastAsia="Abadi Extra Light" w:cs="Abadi Extra Light"/>
          <w:sz w:val="20"/>
          <w:szCs w:val="20"/>
        </w:rPr>
        <w:t>The significant reliance on donors for financing and implementation of HIV, KP and AGYW programs compromises the sustainability of the interventions (McIntyre, 2018). This provides an opportunity for; a) budget advocacy for increased government funding and ownership of HIV, KP and AGYW interventions; and b) advocacy for capacity development for HIV, KP and AGYW program implementation amongst in-country partners and teams.</w:t>
      </w:r>
    </w:p>
    <w:p w14:paraId="0E76D9FD" w14:textId="77777777" w:rsidR="00086021" w:rsidRDefault="00086021">
      <w:pPr>
        <w:pStyle w:val="BodyText"/>
        <w:rPr>
          <w:sz w:val="20"/>
          <w:szCs w:val="20"/>
        </w:rPr>
      </w:pPr>
    </w:p>
    <w:p w14:paraId="00958712" w14:textId="09E8DCC6" w:rsidR="00086021" w:rsidRDefault="009E19AB" w:rsidP="00FC49F8">
      <w:pPr>
        <w:pStyle w:val="BodyText"/>
        <w:jc w:val="both"/>
        <w:rPr>
          <w:sz w:val="20"/>
          <w:szCs w:val="20"/>
        </w:rPr>
      </w:pPr>
      <w:r>
        <w:rPr>
          <w:sz w:val="20"/>
          <w:szCs w:val="20"/>
        </w:rPr>
        <w:t xml:space="preserve">County own-source revenue has been cited as a promising approach to domestic resource </w:t>
      </w:r>
      <w:r w:rsidR="00A45B97">
        <w:rPr>
          <w:sz w:val="20"/>
          <w:szCs w:val="20"/>
        </w:rPr>
        <w:t xml:space="preserve">mobilization </w:t>
      </w:r>
      <w:r>
        <w:rPr>
          <w:sz w:val="20"/>
          <w:szCs w:val="20"/>
        </w:rPr>
        <w:t xml:space="preserve">in the advent of donor transition. However, </w:t>
      </w:r>
      <w:proofErr w:type="gramStart"/>
      <w:r>
        <w:rPr>
          <w:sz w:val="20"/>
          <w:szCs w:val="20"/>
        </w:rPr>
        <w:t>insufficient</w:t>
      </w:r>
      <w:proofErr w:type="gramEnd"/>
      <w:r>
        <w:rPr>
          <w:sz w:val="20"/>
          <w:szCs w:val="20"/>
        </w:rPr>
        <w:t xml:space="preserve"> and fragmented data on HIV, KP and AGYW programs between the national, county governments and other stakeholders has made it challenging for counties to identify existing opportunities and capacity for meaningful own-source revenue generation, and what role these resources could play in sustaining HIV interventions. Understanding the needs and potential of each county will therefore be required.</w:t>
      </w:r>
    </w:p>
    <w:p w14:paraId="036B6DF2" w14:textId="77777777" w:rsidR="00086021" w:rsidRDefault="009E19AB">
      <w:pPr>
        <w:pStyle w:val="BodyText"/>
        <w:rPr>
          <w:sz w:val="20"/>
          <w:szCs w:val="20"/>
        </w:rPr>
      </w:pPr>
      <w:r>
        <w:rPr>
          <w:noProof/>
          <w:sz w:val="20"/>
          <w:szCs w:val="20"/>
        </w:rPr>
        <mc:AlternateContent>
          <mc:Choice Requires="wps">
            <w:drawing>
              <wp:anchor distT="0" distB="0" distL="0" distR="0" simplePos="0" relativeHeight="23" behindDoc="0" locked="0" layoutInCell="1" allowOverlap="1" wp14:anchorId="15C28225" wp14:editId="62077ADD">
                <wp:simplePos x="0" y="0"/>
                <wp:positionH relativeFrom="column">
                  <wp:posOffset>-4445</wp:posOffset>
                </wp:positionH>
                <wp:positionV relativeFrom="paragraph">
                  <wp:posOffset>116840</wp:posOffset>
                </wp:positionV>
                <wp:extent cx="5748655" cy="2181860"/>
                <wp:effectExtent l="0" t="0" r="0" b="0"/>
                <wp:wrapNone/>
                <wp:docPr id="18" name="Shape2_6"/>
                <wp:cNvGraphicFramePr/>
                <a:graphic xmlns:a="http://schemas.openxmlformats.org/drawingml/2006/main">
                  <a:graphicData uri="http://schemas.microsoft.com/office/word/2010/wordprocessingShape">
                    <wps:wsp>
                      <wps:cNvSpPr/>
                      <wps:spPr>
                        <a:xfrm>
                          <a:off x="0" y="0"/>
                          <a:ext cx="5748120" cy="2181240"/>
                        </a:xfrm>
                        <a:prstGeom prst="rect">
                          <a:avLst/>
                        </a:prstGeom>
                        <a:solidFill>
                          <a:srgbClr val="C9211E">
                            <a:alpha val="15000"/>
                          </a:srgbClr>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c="http://schemas.openxmlformats.org/drawingml/2006/chart" xmlns:a1611="http://schemas.microsoft.com/office/drawing/2016/11/main" xmlns:a14="http://schemas.microsoft.com/office/drawing/2010/main" xmlns:pic="http://schemas.openxmlformats.org/drawingml/2006/picture" xmlns:a16="http://schemas.microsoft.com/office/drawing/2014/main" xmlns:a="http://schemas.openxmlformats.org/drawingml/2006/main">
            <w:pict w14:anchorId="47BF3581">
              <v:rect id="Shape2_6" style="position:absolute;margin-left:-.35pt;margin-top:9.2pt;width:452.65pt;height:171.8pt;z-index:23;visibility:visible;mso-wrap-style:square;mso-wrap-distance-left:0;mso-wrap-distance-top:0;mso-wrap-distance-right:0;mso-wrap-distance-bottom:0;mso-position-horizontal:absolute;mso-position-horizontal-relative:text;mso-position-vertical:absolute;mso-position-vertical-relative:text;v-text-anchor:top" o:spid="_x0000_s1026" fillcolor="#c9211e" stroked="f" w14:anchorId="04F52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">
                <v:fill opacity="9766f"/>
              </v:rect>
            </w:pict>
          </mc:Fallback>
        </mc:AlternateContent>
      </w:r>
    </w:p>
    <w:p w14:paraId="4B659D6E" w14:textId="77777777" w:rsidR="00086021" w:rsidRDefault="009E19AB">
      <w:pPr>
        <w:pStyle w:val="BodyText"/>
        <w:ind w:left="540"/>
        <w:rPr>
          <w:b/>
          <w:bCs/>
          <w:sz w:val="24"/>
        </w:rPr>
      </w:pPr>
      <w:r>
        <w:rPr>
          <w:b/>
          <w:bCs/>
          <w:sz w:val="24"/>
        </w:rPr>
        <w:t>Advocacy Opportunity for Integration KP and AGYW Programs</w:t>
      </w:r>
    </w:p>
    <w:p w14:paraId="145552FF" w14:textId="77777777" w:rsidR="00086021" w:rsidRDefault="009E19AB">
      <w:pPr>
        <w:pStyle w:val="BodyText"/>
        <w:ind w:left="540" w:right="360"/>
        <w:rPr>
          <w:rFonts w:eastAsia="Abadi Extra Light" w:cs="Abadi Extra Light"/>
          <w:sz w:val="20"/>
          <w:szCs w:val="20"/>
        </w:rPr>
      </w:pPr>
      <w:r>
        <w:rPr>
          <w:rFonts w:eastAsia="Abadi Extra Light" w:cs="Abadi Extra Light"/>
          <w:sz w:val="20"/>
          <w:szCs w:val="20"/>
        </w:rPr>
        <w:t>The fragmentation in financing and implementation of HIV, KP and AGYW programs across governments (national and county) and sectors (private and public) threatens efficiency and sustainability of these services. This provides an opportunity for advocacy for inclusion of target interventions for KPs and AGYW within the health system across the levels of government and the sectors to reduce fragmentation.</w:t>
      </w:r>
    </w:p>
    <w:p w14:paraId="285DC68C" w14:textId="2CAB1803" w:rsidR="00086021" w:rsidRDefault="009E19AB">
      <w:pPr>
        <w:pStyle w:val="BodyText"/>
        <w:ind w:left="540" w:right="360"/>
        <w:rPr>
          <w:sz w:val="20"/>
          <w:szCs w:val="20"/>
        </w:rPr>
      </w:pPr>
      <w:r>
        <w:rPr>
          <w:sz w:val="20"/>
          <w:szCs w:val="20"/>
        </w:rPr>
        <w:t xml:space="preserve">Insufficient and fragmented data on HIV, KP and AGYW programs in the country limits the capacity for effective resource </w:t>
      </w:r>
      <w:proofErr w:type="spellStart"/>
      <w:r w:rsidR="00C80431">
        <w:rPr>
          <w:sz w:val="20"/>
          <w:szCs w:val="20"/>
        </w:rPr>
        <w:t>mobilisation</w:t>
      </w:r>
      <w:proofErr w:type="spellEnd"/>
      <w:r>
        <w:rPr>
          <w:sz w:val="20"/>
          <w:szCs w:val="20"/>
        </w:rPr>
        <w:t>, policy advocacy as well as decision making. This provides an opportunity for advocacy for better data management, data integration and knowledge management at all levels.</w:t>
      </w:r>
    </w:p>
    <w:p w14:paraId="3096AE65" w14:textId="77777777" w:rsidR="00086021" w:rsidRDefault="00086021">
      <w:pPr>
        <w:pStyle w:val="BodyText"/>
        <w:rPr>
          <w:sz w:val="20"/>
          <w:szCs w:val="20"/>
        </w:rPr>
      </w:pPr>
    </w:p>
    <w:p w14:paraId="1FAD21C0" w14:textId="77777777" w:rsidR="00086021" w:rsidRDefault="009E19AB">
      <w:pPr>
        <w:pStyle w:val="Heading4"/>
      </w:pPr>
      <w:bookmarkStart w:id="18" w:name="_Toc56997937"/>
      <w:r>
        <w:rPr>
          <w:bCs/>
        </w:rPr>
        <w:t>3.2.2.</w:t>
      </w:r>
      <w:r>
        <w:t xml:space="preserve"> </w:t>
      </w:r>
      <w:r>
        <w:rPr>
          <w:bCs/>
        </w:rPr>
        <w:t>Revenue Allocation</w:t>
      </w:r>
      <w:bookmarkEnd w:id="18"/>
    </w:p>
    <w:p w14:paraId="4FF47A0C" w14:textId="77777777" w:rsidR="00086021" w:rsidRDefault="00086021">
      <w:pPr>
        <w:rPr>
          <w:b/>
          <w:bCs/>
        </w:rPr>
      </w:pPr>
    </w:p>
    <w:p w14:paraId="70FAFA25" w14:textId="77777777" w:rsidR="00086021" w:rsidRDefault="009E19AB" w:rsidP="00FC49F8">
      <w:pPr>
        <w:pStyle w:val="BodyText"/>
        <w:jc w:val="both"/>
        <w:rPr>
          <w:sz w:val="20"/>
          <w:szCs w:val="20"/>
        </w:rPr>
      </w:pPr>
      <w:bookmarkStart w:id="19" w:name="_qsh70q"/>
      <w:bookmarkEnd w:id="19"/>
      <w:r>
        <w:rPr>
          <w:rFonts w:eastAsia="Abadi Extra Light" w:cs="Abadi Extra Light"/>
          <w:sz w:val="20"/>
          <w:szCs w:val="20"/>
          <w:highlight w:val="white"/>
        </w:rPr>
        <w:t>In Kenya, the Commission on Revenue Allocation (CRA) was set up in 2010 under Article 215 of the Constitution with the mandate to recommend the basis for equitable sharing of revenues raised nationally between the national and county governments and among the county governments. Additionally, the commission is tasked with encouraging fiscal responsibility, review of parliamentary bills relating to the equalization fund and revenue sharing for both the national and count</w:t>
      </w:r>
      <w:r>
        <w:rPr>
          <w:rFonts w:eastAsia="Abadi Extra Light" w:cs="Abadi Extra Light"/>
          <w:sz w:val="20"/>
          <w:szCs w:val="20"/>
        </w:rPr>
        <w:t>y governments.</w:t>
      </w:r>
    </w:p>
    <w:p w14:paraId="675B4AD6" w14:textId="77777777" w:rsidR="00086021" w:rsidRDefault="009E19AB" w:rsidP="00FC49F8">
      <w:pPr>
        <w:pStyle w:val="BodyText"/>
        <w:jc w:val="both"/>
        <w:rPr>
          <w:sz w:val="20"/>
          <w:szCs w:val="20"/>
        </w:rPr>
      </w:pPr>
      <w:r>
        <w:rPr>
          <w:rFonts w:eastAsia="Abadi Extra Light" w:cs="Abadi Extra Light"/>
          <w:sz w:val="20"/>
          <w:szCs w:val="20"/>
          <w:highlight w:val="white"/>
        </w:rPr>
        <w:t>Articles 201 to 203 of the Constitution of Kenya also focus on the equitable sharing of finances in the country (</w:t>
      </w:r>
      <w:r>
        <w:rPr>
          <w:rFonts w:eastAsia="Abadi Extra Light" w:cs="Abadi Extra Light"/>
          <w:i/>
          <w:sz w:val="20"/>
          <w:szCs w:val="20"/>
          <w:highlight w:val="white"/>
        </w:rPr>
        <w:t>Kenyan Constitution, Chapter Twelve, Part 1, Article 201 to 203</w:t>
      </w:r>
      <w:r>
        <w:rPr>
          <w:rFonts w:eastAsia="Abadi Extra Light" w:cs="Abadi Extra Light"/>
          <w:sz w:val="20"/>
          <w:szCs w:val="20"/>
          <w:highlight w:val="white"/>
        </w:rPr>
        <w:t>, n.d.).  Article 201 stipulates the principles of public finance. It provides for a fair society promoted by the public finance system. This results from, among other factors, the vertical sharing of revenue raised nationally in Kenya. The</w:t>
      </w:r>
      <w:r>
        <w:br w:type="page"/>
      </w:r>
    </w:p>
    <w:p w14:paraId="3452D513" w14:textId="7A878F36" w:rsidR="00086021" w:rsidRDefault="009E19AB" w:rsidP="00FC49F8">
      <w:pPr>
        <w:pStyle w:val="BodyText"/>
        <w:jc w:val="both"/>
        <w:rPr>
          <w:rFonts w:eastAsia="Abadi Extra Light" w:cs="Abadi Extra Light"/>
          <w:sz w:val="20"/>
          <w:szCs w:val="20"/>
        </w:rPr>
      </w:pPr>
      <w:r>
        <w:rPr>
          <w:rFonts w:eastAsia="Abadi Extra Light" w:cs="Abadi Extra Light"/>
          <w:sz w:val="20"/>
          <w:szCs w:val="20"/>
          <w:highlight w:val="white"/>
        </w:rPr>
        <w:lastRenderedPageBreak/>
        <w:t xml:space="preserve"> constitution asserts that a minimum of 15% of the national revenue should be allocated to the counties and 0.5% as an equalization fund (</w:t>
      </w:r>
      <w:r>
        <w:rPr>
          <w:rFonts w:eastAsia="Abadi Extra Light" w:cs="Abadi Extra Light"/>
          <w:i/>
          <w:sz w:val="20"/>
          <w:szCs w:val="20"/>
          <w:highlight w:val="white"/>
        </w:rPr>
        <w:t>The Vertical Process of Sharing National Revenue in Kenya</w:t>
      </w:r>
      <w:r>
        <w:rPr>
          <w:rFonts w:eastAsia="Abadi Extra Light" w:cs="Abadi Extra Light"/>
          <w:sz w:val="20"/>
          <w:szCs w:val="20"/>
          <w:highlight w:val="white"/>
        </w:rPr>
        <w:t xml:space="preserve">, n.d.). </w:t>
      </w:r>
      <w:r>
        <w:rPr>
          <w:rFonts w:eastAsia="Abadi Extra Light" w:cs="Abadi Extra Light"/>
          <w:sz w:val="20"/>
          <w:szCs w:val="20"/>
        </w:rPr>
        <w:t xml:space="preserve">Figure 11 depicts </w:t>
      </w:r>
      <w:r>
        <w:rPr>
          <w:rFonts w:eastAsia="Abadi Extra Light" w:cs="Abadi Extra Light"/>
          <w:sz w:val="20"/>
          <w:szCs w:val="20"/>
          <w:highlight w:val="white"/>
        </w:rPr>
        <w:t>the flow of resources through the health system.</w:t>
      </w:r>
    </w:p>
    <w:p w14:paraId="3D8E01FA" w14:textId="77777777" w:rsidR="00FC49F8" w:rsidRDefault="00FC49F8" w:rsidP="00FC49F8">
      <w:pPr>
        <w:pStyle w:val="BodyText"/>
        <w:jc w:val="both"/>
        <w:rPr>
          <w:sz w:val="20"/>
          <w:szCs w:val="20"/>
        </w:rPr>
      </w:pPr>
    </w:p>
    <w:p w14:paraId="68C511DE" w14:textId="77777777" w:rsidR="00086021" w:rsidRPr="00FC49F8" w:rsidRDefault="009E19AB">
      <w:pPr>
        <w:pStyle w:val="Figure"/>
        <w:rPr>
          <w:b/>
          <w:bCs/>
          <w:sz w:val="18"/>
          <w:szCs w:val="18"/>
        </w:rPr>
      </w:pPr>
      <w:r w:rsidRPr="00FC49F8">
        <w:rPr>
          <w:b/>
          <w:bCs/>
          <w:sz w:val="18"/>
          <w:szCs w:val="18"/>
        </w:rPr>
        <w:t>Figure 11: National and County-level flow of health funds in Kenya</w:t>
      </w:r>
    </w:p>
    <w:p w14:paraId="6B4B54ED" w14:textId="77777777" w:rsidR="00086021" w:rsidRDefault="009E19AB">
      <w:pPr>
        <w:pStyle w:val="Figure"/>
      </w:pPr>
      <w:r>
        <w:rPr>
          <w:noProof/>
        </w:rPr>
        <w:drawing>
          <wp:inline distT="0" distB="0" distL="0" distR="0" wp14:anchorId="54015DAE" wp14:editId="5373BD8B">
            <wp:extent cx="5753100" cy="3314700"/>
            <wp:effectExtent l="0" t="0" r="0" b="0"/>
            <wp:docPr id="1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5.png"/>
                    <pic:cNvPicPr>
                      <a:picLocks noChangeAspect="1" noChangeArrowheads="1"/>
                    </pic:cNvPicPr>
                  </pic:nvPicPr>
                  <pic:blipFill>
                    <a:blip r:embed="rId33"/>
                    <a:stretch>
                      <a:fillRect/>
                    </a:stretch>
                  </pic:blipFill>
                  <pic:spPr bwMode="auto">
                    <a:xfrm>
                      <a:off x="0" y="0"/>
                      <a:ext cx="5753100" cy="3314700"/>
                    </a:xfrm>
                    <a:prstGeom prst="rect">
                      <a:avLst/>
                    </a:prstGeom>
                  </pic:spPr>
                </pic:pic>
              </a:graphicData>
            </a:graphic>
          </wp:inline>
        </w:drawing>
      </w:r>
    </w:p>
    <w:p w14:paraId="4405FBC9" w14:textId="77777777" w:rsidR="00086021" w:rsidRDefault="009E19AB">
      <w:pPr>
        <w:pStyle w:val="BodyText"/>
        <w:rPr>
          <w:i/>
          <w:iCs/>
          <w:sz w:val="16"/>
          <w:szCs w:val="16"/>
        </w:rPr>
      </w:pPr>
      <w:r>
        <w:rPr>
          <w:i/>
          <w:iCs/>
          <w:sz w:val="16"/>
          <w:szCs w:val="16"/>
        </w:rPr>
        <w:t>Source: Adapted from Dutta et al., 2018</w:t>
      </w:r>
    </w:p>
    <w:p w14:paraId="3499393E" w14:textId="77777777" w:rsidR="00086021" w:rsidRDefault="009E19AB" w:rsidP="00FC49F8">
      <w:pPr>
        <w:pStyle w:val="BodyText"/>
        <w:jc w:val="both"/>
        <w:rPr>
          <w:sz w:val="20"/>
          <w:szCs w:val="20"/>
        </w:rPr>
      </w:pPr>
      <w:r>
        <w:rPr>
          <w:sz w:val="20"/>
          <w:szCs w:val="20"/>
        </w:rPr>
        <w:t xml:space="preserve">The county governments receive conditional grants from the national government’s equitable share. That is, after both levels of government receive their share of the revenue raised nationally, the county governments receive additional funding from the national government’s share. </w:t>
      </w:r>
    </w:p>
    <w:p w14:paraId="7535D696" w14:textId="77777777" w:rsidR="00086021" w:rsidRDefault="009E19AB" w:rsidP="00FC49F8">
      <w:pPr>
        <w:pStyle w:val="BodyText"/>
        <w:jc w:val="both"/>
        <w:rPr>
          <w:sz w:val="20"/>
          <w:szCs w:val="20"/>
        </w:rPr>
      </w:pPr>
      <w:r>
        <w:rPr>
          <w:sz w:val="20"/>
          <w:szCs w:val="20"/>
        </w:rPr>
        <w:t xml:space="preserve">Once the division of revenue is carried out, the Senate determines how much each of the 47 counties should get from the county’s share of the national income. This is referred to as horizontal sharing. The County Allocation of Revenue Bill under Article 218(1) (b) facilitates the allocation of revenue to counties in Kenya on the basis determined through the revenue sharing formula (Article 217). </w:t>
      </w:r>
    </w:p>
    <w:p w14:paraId="2D763B3E" w14:textId="77777777" w:rsidR="00086021" w:rsidRDefault="009E19AB" w:rsidP="00FC49F8">
      <w:pPr>
        <w:pStyle w:val="BodyText"/>
        <w:jc w:val="both"/>
        <w:rPr>
          <w:sz w:val="20"/>
          <w:szCs w:val="20"/>
        </w:rPr>
      </w:pPr>
      <w:r>
        <w:rPr>
          <w:sz w:val="20"/>
          <w:szCs w:val="20"/>
        </w:rPr>
        <w:t>The formula is designed to enhance service delivery, promote balanced development, and incentivize fiscal effort and prudence across the counties as shown in Annex 3. For the first time since the adoption of the new constitution, the revenue sharing formula (3rd basis) incorporates health as a key determinant with a weight of 17%.</w:t>
      </w:r>
    </w:p>
    <w:p w14:paraId="2BCB9204" w14:textId="77777777" w:rsidR="00086021" w:rsidRDefault="009E19AB" w:rsidP="00FC49F8">
      <w:pPr>
        <w:pStyle w:val="BodyText"/>
        <w:jc w:val="both"/>
        <w:rPr>
          <w:sz w:val="20"/>
          <w:szCs w:val="20"/>
        </w:rPr>
      </w:pPr>
      <w:r>
        <w:rPr>
          <w:sz w:val="20"/>
          <w:szCs w:val="20"/>
        </w:rPr>
        <w:t>Except for a few counties like Makueni, West Pokot and Samburu, majority of public facilities across the counties are by law required to remit revenues they generate from service delivery (including Linda Mama) to the County Revenue Fund (CRF). This limits the facilities’ access to the funds as well as the autonomy in utilization of the revenue.</w:t>
      </w:r>
    </w:p>
    <w:p w14:paraId="3BAD6AC9" w14:textId="77777777" w:rsidR="00086021" w:rsidRDefault="009E19AB">
      <w:pPr>
        <w:pStyle w:val="BodyText"/>
        <w:rPr>
          <w:sz w:val="20"/>
          <w:szCs w:val="20"/>
        </w:rPr>
      </w:pPr>
      <w:r>
        <w:br w:type="page"/>
      </w:r>
    </w:p>
    <w:p w14:paraId="06E677DD" w14:textId="77777777" w:rsidR="00086021" w:rsidRDefault="009E19AB">
      <w:pPr>
        <w:pStyle w:val="BodyText"/>
        <w:rPr>
          <w:sz w:val="24"/>
        </w:rPr>
      </w:pPr>
      <w:r>
        <w:rPr>
          <w:noProof/>
          <w:sz w:val="24"/>
        </w:rPr>
        <w:lastRenderedPageBreak/>
        <mc:AlternateContent>
          <mc:Choice Requires="wps">
            <w:drawing>
              <wp:anchor distT="0" distB="0" distL="0" distR="0" simplePos="0" relativeHeight="25" behindDoc="0" locked="0" layoutInCell="1" allowOverlap="1" wp14:anchorId="1A3B5577" wp14:editId="714A7325">
                <wp:simplePos x="0" y="0"/>
                <wp:positionH relativeFrom="column">
                  <wp:posOffset>-13970</wp:posOffset>
                </wp:positionH>
                <wp:positionV relativeFrom="paragraph">
                  <wp:posOffset>20955</wp:posOffset>
                </wp:positionV>
                <wp:extent cx="5748655" cy="2065020"/>
                <wp:effectExtent l="0" t="0" r="0" b="0"/>
                <wp:wrapNone/>
                <wp:docPr id="20" name="Shape2_7"/>
                <wp:cNvGraphicFramePr/>
                <a:graphic xmlns:a="http://schemas.openxmlformats.org/drawingml/2006/main">
                  <a:graphicData uri="http://schemas.microsoft.com/office/word/2010/wordprocessingShape">
                    <wps:wsp>
                      <wps:cNvSpPr/>
                      <wps:spPr>
                        <a:xfrm>
                          <a:off x="0" y="0"/>
                          <a:ext cx="5748120" cy="2064240"/>
                        </a:xfrm>
                        <a:prstGeom prst="rect">
                          <a:avLst/>
                        </a:prstGeom>
                        <a:solidFill>
                          <a:srgbClr val="C9211E">
                            <a:alpha val="15000"/>
                          </a:srgbClr>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c="http://schemas.openxmlformats.org/drawingml/2006/chart" xmlns:a1611="http://schemas.microsoft.com/office/drawing/2016/11/main" xmlns:a14="http://schemas.microsoft.com/office/drawing/2010/main" xmlns:pic="http://schemas.openxmlformats.org/drawingml/2006/picture" xmlns:a16="http://schemas.microsoft.com/office/drawing/2014/main" xmlns:a="http://schemas.openxmlformats.org/drawingml/2006/main">
            <w:pict w14:anchorId="2BABF876">
              <v:rect id="Shape2_7" style="position:absolute;margin-left:-1.1pt;margin-top:1.65pt;width:452.65pt;height:162.6pt;z-index:25;visibility:visible;mso-wrap-style:square;mso-wrap-distance-left:0;mso-wrap-distance-top:0;mso-wrap-distance-right:0;mso-wrap-distance-bottom:0;mso-position-horizontal:absolute;mso-position-horizontal-relative:text;mso-position-vertical:absolute;mso-position-vertical-relative:text;v-text-anchor:top" o:spid="_x0000_s1026" fillcolor="#c9211e" stroked="f" w14:anchorId="781667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">
                <v:fill opacity="9766f"/>
              </v:rect>
            </w:pict>
          </mc:Fallback>
        </mc:AlternateContent>
      </w:r>
    </w:p>
    <w:p w14:paraId="529120C4" w14:textId="77777777" w:rsidR="00086021" w:rsidRDefault="009E19AB">
      <w:pPr>
        <w:pStyle w:val="BodyText"/>
        <w:ind w:left="540"/>
        <w:rPr>
          <w:sz w:val="24"/>
        </w:rPr>
      </w:pPr>
      <w:r>
        <w:rPr>
          <w:sz w:val="24"/>
        </w:rPr>
        <w:t>Revenue Allocation</w:t>
      </w:r>
    </w:p>
    <w:p w14:paraId="24A2E3FC" w14:textId="77777777" w:rsidR="00086021" w:rsidRDefault="009E19AB">
      <w:pPr>
        <w:pStyle w:val="BodyText"/>
        <w:ind w:left="540" w:right="360"/>
        <w:rPr>
          <w:sz w:val="20"/>
          <w:szCs w:val="20"/>
        </w:rPr>
      </w:pPr>
      <w:r>
        <w:rPr>
          <w:sz w:val="20"/>
          <w:szCs w:val="20"/>
        </w:rPr>
        <w:t xml:space="preserve">The Cabinet Secretary for National Treasury and Planning should prepare and table the revenue allocation bill at least two months before the end of the financial year (30th June). The bill is tabled on February 15th of each year. Once the Senate approves the bill, it becomes the County Allocation of Revenue Act. </w:t>
      </w:r>
    </w:p>
    <w:p w14:paraId="1810F9CA" w14:textId="77777777" w:rsidR="00086021" w:rsidRDefault="009E19AB">
      <w:pPr>
        <w:pStyle w:val="BodyText"/>
        <w:ind w:left="540" w:right="360"/>
      </w:pPr>
      <w:r>
        <w:rPr>
          <w:sz w:val="20"/>
          <w:szCs w:val="20"/>
        </w:rPr>
        <w:t>This officially determines how much of the county equitable share each county should get based on the revenue sharing formula. Each county’s equal share of revenue (except some conditional grants) is then remitted to the respective </w:t>
      </w:r>
      <w:hyperlink r:id="rId34">
        <w:r>
          <w:rPr>
            <w:sz w:val="20"/>
            <w:szCs w:val="20"/>
          </w:rPr>
          <w:t>County Revenue Fund</w:t>
        </w:r>
      </w:hyperlink>
      <w:r>
        <w:rPr>
          <w:sz w:val="20"/>
          <w:szCs w:val="20"/>
        </w:rPr>
        <w:t xml:space="preserve"> (CRF) account.</w:t>
      </w:r>
    </w:p>
    <w:p w14:paraId="5E4B798C" w14:textId="77777777" w:rsidR="00086021" w:rsidRDefault="00086021">
      <w:pPr>
        <w:pStyle w:val="BodyText"/>
        <w:ind w:left="540" w:right="360"/>
        <w:rPr>
          <w:sz w:val="20"/>
          <w:szCs w:val="20"/>
        </w:rPr>
      </w:pPr>
    </w:p>
    <w:p w14:paraId="048038F5" w14:textId="77777777" w:rsidR="008F6958" w:rsidRDefault="008F6958" w:rsidP="00FC49F8">
      <w:pPr>
        <w:pStyle w:val="BodyText"/>
        <w:jc w:val="both"/>
      </w:pPr>
    </w:p>
    <w:p w14:paraId="65B201C4" w14:textId="462E97BE" w:rsidR="00FC49F8" w:rsidRDefault="009E19AB" w:rsidP="00FC49F8">
      <w:pPr>
        <w:pStyle w:val="BodyText"/>
        <w:jc w:val="both"/>
        <w:rPr>
          <w:sz w:val="20"/>
          <w:szCs w:val="20"/>
        </w:rPr>
      </w:pPr>
      <w:r>
        <w:t>Revenue Allocation for KP and AGYW Programs</w:t>
      </w:r>
      <w:r w:rsidR="00FC49F8" w:rsidRPr="00FC49F8">
        <w:rPr>
          <w:sz w:val="20"/>
          <w:szCs w:val="20"/>
        </w:rPr>
        <w:t xml:space="preserve"> </w:t>
      </w:r>
      <w:r w:rsidR="00FC49F8">
        <w:rPr>
          <w:sz w:val="20"/>
          <w:szCs w:val="20"/>
        </w:rPr>
        <w:t xml:space="preserve">from the NHA 2015/16, HIV/AIDS took the largest share of resources for disease allocations, at 18.7% and 20.1% in FY 2012/13 and FY 2015/16, respectively. Figure 12 highlights the resource allocations to respective disease categories between FY 2012/13 and FY 2015/16. </w:t>
      </w:r>
    </w:p>
    <w:p w14:paraId="025D08FE" w14:textId="77777777" w:rsidR="008F6958" w:rsidRDefault="008F6958" w:rsidP="00FC49F8">
      <w:pPr>
        <w:pStyle w:val="BodyText"/>
        <w:jc w:val="both"/>
        <w:rPr>
          <w:sz w:val="20"/>
          <w:szCs w:val="20"/>
        </w:rPr>
      </w:pPr>
    </w:p>
    <w:p w14:paraId="78FA9E35" w14:textId="77777777" w:rsidR="00FC49F8" w:rsidRPr="00FC49F8" w:rsidRDefault="00FC49F8" w:rsidP="00FC49F8">
      <w:pPr>
        <w:pStyle w:val="Figure"/>
        <w:jc w:val="both"/>
        <w:rPr>
          <w:b/>
          <w:bCs/>
          <w:sz w:val="18"/>
          <w:szCs w:val="18"/>
        </w:rPr>
      </w:pPr>
      <w:r w:rsidRPr="00FC49F8">
        <w:rPr>
          <w:b/>
          <w:bCs/>
          <w:sz w:val="18"/>
          <w:szCs w:val="18"/>
        </w:rPr>
        <w:t xml:space="preserve">Figure 12: Distribution of THE by Disease/Condition, FY </w:t>
      </w:r>
      <w:proofErr w:type="gramStart"/>
      <w:r w:rsidRPr="00FC49F8">
        <w:rPr>
          <w:b/>
          <w:bCs/>
          <w:sz w:val="18"/>
          <w:szCs w:val="18"/>
        </w:rPr>
        <w:t>2012/13</w:t>
      </w:r>
      <w:proofErr w:type="gramEnd"/>
      <w:r w:rsidRPr="00FC49F8">
        <w:rPr>
          <w:b/>
          <w:bCs/>
          <w:sz w:val="18"/>
          <w:szCs w:val="18"/>
        </w:rPr>
        <w:t xml:space="preserve"> and FY 2015/16</w:t>
      </w:r>
    </w:p>
    <w:p w14:paraId="1082CE6C" w14:textId="41944792" w:rsidR="00086021" w:rsidRDefault="00086021">
      <w:pPr>
        <w:pStyle w:val="Heading5"/>
      </w:pPr>
    </w:p>
    <w:p w14:paraId="0535C18E" w14:textId="77777777" w:rsidR="00086021" w:rsidRDefault="00086021">
      <w:pPr>
        <w:pStyle w:val="BodyText"/>
        <w:rPr>
          <w:sz w:val="20"/>
          <w:szCs w:val="20"/>
        </w:rPr>
      </w:pPr>
    </w:p>
    <w:p w14:paraId="33B6FF28" w14:textId="77777777" w:rsidR="00086021" w:rsidRDefault="009E19AB">
      <w:pPr>
        <w:pStyle w:val="Figure"/>
      </w:pPr>
      <w:r>
        <w:rPr>
          <w:noProof/>
        </w:rPr>
        <w:drawing>
          <wp:inline distT="0" distB="0" distL="0" distR="0" wp14:anchorId="50304621" wp14:editId="66FF4B35">
            <wp:extent cx="4238625" cy="2543175"/>
            <wp:effectExtent l="0" t="0" r="0" b="0"/>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png"/>
                    <pic:cNvPicPr>
                      <a:picLocks noChangeAspect="1" noChangeArrowheads="1"/>
                    </pic:cNvPicPr>
                  </pic:nvPicPr>
                  <pic:blipFill>
                    <a:blip r:embed="rId35"/>
                    <a:stretch>
                      <a:fillRect/>
                    </a:stretch>
                  </pic:blipFill>
                  <pic:spPr bwMode="auto">
                    <a:xfrm>
                      <a:off x="0" y="0"/>
                      <a:ext cx="4238625" cy="2543175"/>
                    </a:xfrm>
                    <a:prstGeom prst="rect">
                      <a:avLst/>
                    </a:prstGeom>
                  </pic:spPr>
                </pic:pic>
              </a:graphicData>
            </a:graphic>
          </wp:inline>
        </w:drawing>
      </w:r>
    </w:p>
    <w:p w14:paraId="0E677AB3" w14:textId="2105D65E" w:rsidR="00086021" w:rsidRDefault="009E19AB">
      <w:pPr>
        <w:pStyle w:val="BodyText"/>
        <w:rPr>
          <w:i/>
          <w:iCs/>
          <w:sz w:val="16"/>
          <w:szCs w:val="16"/>
        </w:rPr>
      </w:pPr>
      <w:r>
        <w:rPr>
          <w:i/>
          <w:iCs/>
          <w:sz w:val="16"/>
          <w:szCs w:val="16"/>
        </w:rPr>
        <w:t>Source: National Health Accounts 2015/16</w:t>
      </w:r>
    </w:p>
    <w:p w14:paraId="77FDA84A" w14:textId="592E1E69" w:rsidR="008F6958" w:rsidRDefault="008F6958">
      <w:pPr>
        <w:pStyle w:val="BodyText"/>
        <w:rPr>
          <w:i/>
          <w:iCs/>
          <w:sz w:val="16"/>
          <w:szCs w:val="16"/>
        </w:rPr>
      </w:pPr>
    </w:p>
    <w:p w14:paraId="595181FA" w14:textId="77777777" w:rsidR="008F6958" w:rsidRDefault="008F6958">
      <w:pPr>
        <w:pStyle w:val="BodyText"/>
        <w:rPr>
          <w:i/>
          <w:iCs/>
          <w:sz w:val="16"/>
          <w:szCs w:val="16"/>
        </w:rPr>
      </w:pPr>
    </w:p>
    <w:p w14:paraId="7C330AA1" w14:textId="6039235C" w:rsidR="00086021" w:rsidRDefault="009E19AB" w:rsidP="008F6958">
      <w:pPr>
        <w:pStyle w:val="BodyText"/>
        <w:jc w:val="both"/>
      </w:pPr>
      <w:r>
        <w:rPr>
          <w:rFonts w:eastAsia="Abadi Extra Light" w:cs="Abadi Extra Light"/>
          <w:sz w:val="20"/>
          <w:szCs w:val="20"/>
        </w:rPr>
        <w:t xml:space="preserve">Most of the funding for KPs and AGYW specific interventions is </w:t>
      </w:r>
      <w:proofErr w:type="gramStart"/>
      <w:r>
        <w:rPr>
          <w:rFonts w:eastAsia="Abadi Extra Light" w:cs="Abadi Extra Light"/>
          <w:sz w:val="20"/>
          <w:szCs w:val="20"/>
        </w:rPr>
        <w:t>off-budget</w:t>
      </w:r>
      <w:proofErr w:type="gramEnd"/>
      <w:r>
        <w:rPr>
          <w:rStyle w:val="FootnoteAnchor"/>
          <w:rFonts w:eastAsia="Abadi Extra Light" w:cs="Abadi Extra Light"/>
          <w:sz w:val="20"/>
          <w:szCs w:val="20"/>
        </w:rPr>
        <w:footnoteReference w:id="3"/>
      </w:r>
      <w:r>
        <w:rPr>
          <w:rFonts w:eastAsia="Abadi Extra Light" w:cs="Abadi Extra Light"/>
          <w:sz w:val="20"/>
          <w:szCs w:val="20"/>
        </w:rPr>
        <w:t xml:space="preserve"> by donors through implementing partners. For instance, between 2018 and 2020, the off- budget financing by the Global Fund was as follows: 71% for PWID; 92% for MSM; 100% for FSW; and 91% for Adolescents and Youth as shown in Figure 13.</w:t>
      </w:r>
    </w:p>
    <w:p w14:paraId="4D2BADEF" w14:textId="77777777" w:rsidR="00086021" w:rsidRDefault="009E19AB">
      <w:pPr>
        <w:pStyle w:val="Figure"/>
      </w:pPr>
      <w:r>
        <w:br w:type="page"/>
      </w:r>
    </w:p>
    <w:p w14:paraId="1FBC95F3" w14:textId="6C5794DD" w:rsidR="00086021" w:rsidRDefault="009E19AB">
      <w:pPr>
        <w:pStyle w:val="Figure"/>
        <w:rPr>
          <w:b/>
          <w:bCs/>
          <w:sz w:val="18"/>
          <w:szCs w:val="18"/>
        </w:rPr>
      </w:pPr>
      <w:r w:rsidRPr="00BE546C">
        <w:rPr>
          <w:b/>
          <w:bCs/>
          <w:sz w:val="18"/>
          <w:szCs w:val="18"/>
        </w:rPr>
        <w:lastRenderedPageBreak/>
        <w:t>Figure 13: On- versus Off-budget composition of proposed Global Fund investment in HIV for 2018–2020</w:t>
      </w:r>
    </w:p>
    <w:p w14:paraId="76F6DCA4" w14:textId="77777777" w:rsidR="00BE546C" w:rsidRPr="00BE546C" w:rsidRDefault="00BE546C">
      <w:pPr>
        <w:pStyle w:val="Figure"/>
        <w:rPr>
          <w:b/>
          <w:bCs/>
          <w:sz w:val="18"/>
          <w:szCs w:val="18"/>
        </w:rPr>
      </w:pPr>
    </w:p>
    <w:p w14:paraId="20D142E0" w14:textId="77777777" w:rsidR="00086021" w:rsidRDefault="009E19AB">
      <w:pPr>
        <w:pStyle w:val="Figure"/>
      </w:pPr>
      <w:r>
        <w:rPr>
          <w:noProof/>
        </w:rPr>
        <w:drawing>
          <wp:inline distT="0" distB="0" distL="0" distR="0" wp14:anchorId="6AF52DAE" wp14:editId="5AE66EF6">
            <wp:extent cx="5588000" cy="2383155"/>
            <wp:effectExtent l="0" t="0" r="0" b="0"/>
            <wp:docPr id="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a:picLocks noChangeAspect="1" noChangeArrowheads="1"/>
                    </pic:cNvPicPr>
                  </pic:nvPicPr>
                  <pic:blipFill>
                    <a:blip r:embed="rId36"/>
                    <a:stretch>
                      <a:fillRect/>
                    </a:stretch>
                  </pic:blipFill>
                  <pic:spPr bwMode="auto">
                    <a:xfrm>
                      <a:off x="0" y="0"/>
                      <a:ext cx="5588000" cy="2383155"/>
                    </a:xfrm>
                    <a:prstGeom prst="rect">
                      <a:avLst/>
                    </a:prstGeom>
                  </pic:spPr>
                </pic:pic>
              </a:graphicData>
            </a:graphic>
          </wp:inline>
        </w:drawing>
      </w:r>
    </w:p>
    <w:p w14:paraId="16FF5CAD" w14:textId="77777777" w:rsidR="00086021" w:rsidRDefault="009E19AB">
      <w:pPr>
        <w:pStyle w:val="BodyText"/>
        <w:rPr>
          <w:rFonts w:eastAsia="Abadi Extra Light" w:cs="Abadi Extra Light"/>
          <w:i/>
          <w:iCs/>
          <w:sz w:val="16"/>
          <w:szCs w:val="16"/>
        </w:rPr>
      </w:pPr>
      <w:r>
        <w:rPr>
          <w:rFonts w:eastAsia="Abadi Extra Light" w:cs="Abadi Extra Light"/>
          <w:i/>
          <w:iCs/>
          <w:sz w:val="16"/>
          <w:szCs w:val="16"/>
        </w:rPr>
        <w:t>Source: Chaitkin et al, 2017</w:t>
      </w:r>
    </w:p>
    <w:p w14:paraId="5D930F65" w14:textId="77777777" w:rsidR="00086021" w:rsidRDefault="009E19AB">
      <w:pPr>
        <w:pStyle w:val="BodyText"/>
        <w:rPr>
          <w:rFonts w:eastAsia="Abadi Extra Light" w:cs="Abadi Extra Light"/>
          <w:i/>
          <w:iCs/>
          <w:sz w:val="20"/>
          <w:szCs w:val="20"/>
        </w:rPr>
      </w:pPr>
      <w:r>
        <w:rPr>
          <w:rFonts w:eastAsia="Abadi Extra Light" w:cs="Abadi Extra Light"/>
          <w:i/>
          <w:iCs/>
          <w:noProof/>
          <w:sz w:val="20"/>
          <w:szCs w:val="20"/>
        </w:rPr>
        <mc:AlternateContent>
          <mc:Choice Requires="wps">
            <w:drawing>
              <wp:anchor distT="0" distB="0" distL="0" distR="0" simplePos="0" relativeHeight="28" behindDoc="0" locked="0" layoutInCell="1" allowOverlap="1" wp14:anchorId="553BABDB" wp14:editId="6D3CDE40">
                <wp:simplePos x="0" y="0"/>
                <wp:positionH relativeFrom="column">
                  <wp:posOffset>-13970</wp:posOffset>
                </wp:positionH>
                <wp:positionV relativeFrom="paragraph">
                  <wp:posOffset>116205</wp:posOffset>
                </wp:positionV>
                <wp:extent cx="5748655" cy="3013710"/>
                <wp:effectExtent l="0" t="0" r="0" b="0"/>
                <wp:wrapNone/>
                <wp:docPr id="23" name="Shape2_8"/>
                <wp:cNvGraphicFramePr/>
                <a:graphic xmlns:a="http://schemas.openxmlformats.org/drawingml/2006/main">
                  <a:graphicData uri="http://schemas.microsoft.com/office/word/2010/wordprocessingShape">
                    <wps:wsp>
                      <wps:cNvSpPr/>
                      <wps:spPr>
                        <a:xfrm>
                          <a:off x="0" y="0"/>
                          <a:ext cx="5748120" cy="3013200"/>
                        </a:xfrm>
                        <a:prstGeom prst="rect">
                          <a:avLst/>
                        </a:prstGeom>
                        <a:solidFill>
                          <a:srgbClr val="C9211E">
                            <a:alpha val="15000"/>
                          </a:srgbClr>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c="http://schemas.openxmlformats.org/drawingml/2006/chart" xmlns:a1611="http://schemas.microsoft.com/office/drawing/2016/11/main" xmlns:a14="http://schemas.microsoft.com/office/drawing/2010/main" xmlns:pic="http://schemas.openxmlformats.org/drawingml/2006/picture" xmlns:a16="http://schemas.microsoft.com/office/drawing/2014/main" xmlns:a="http://schemas.openxmlformats.org/drawingml/2006/main">
            <w:pict w14:anchorId="2FD3EB4C">
              <v:rect id="Shape2_8" style="position:absolute;margin-left:-1.1pt;margin-top:9.15pt;width:452.65pt;height:237.3pt;z-index:28;visibility:visible;mso-wrap-style:square;mso-wrap-distance-left:0;mso-wrap-distance-top:0;mso-wrap-distance-right:0;mso-wrap-distance-bottom:0;mso-position-horizontal:absolute;mso-position-horizontal-relative:text;mso-position-vertical:absolute;mso-position-vertical-relative:text;v-text-anchor:top" o:spid="_x0000_s1026" fillcolor="#c9211e" stroked="f" w14:anchorId="3D88EE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">
                <v:fill opacity="9766f"/>
              </v:rect>
            </w:pict>
          </mc:Fallback>
        </mc:AlternateContent>
      </w:r>
    </w:p>
    <w:p w14:paraId="6DC27885" w14:textId="77777777" w:rsidR="00086021" w:rsidRDefault="009E19AB">
      <w:pPr>
        <w:pStyle w:val="BodyText"/>
        <w:ind w:left="540" w:right="360"/>
        <w:rPr>
          <w:b/>
          <w:bCs/>
          <w:sz w:val="24"/>
        </w:rPr>
      </w:pPr>
      <w:r>
        <w:rPr>
          <w:b/>
          <w:bCs/>
          <w:sz w:val="24"/>
        </w:rPr>
        <w:t>Successes in CSO Advocacy for the funding of KPs by Global Fund in Kenya</w:t>
      </w:r>
    </w:p>
    <w:p w14:paraId="5896768F" w14:textId="77777777" w:rsidR="00086021" w:rsidRDefault="009E19AB">
      <w:pPr>
        <w:pStyle w:val="BodyText"/>
        <w:ind w:left="540" w:right="360"/>
        <w:rPr>
          <w:sz w:val="20"/>
          <w:szCs w:val="20"/>
        </w:rPr>
      </w:pPr>
      <w:r>
        <w:rPr>
          <w:sz w:val="20"/>
          <w:szCs w:val="20"/>
        </w:rPr>
        <w:t xml:space="preserve">KP constituents and AGYW groups only started engaging in GF grants recently. Previously, GF grants were primarily focused on government and networks of people living with HIV. Through dedicated advocacy, funds previously allocated to PMTCT were increased up to USD 52 Million. This success illuminated the potential CSOs have in influencing country specific funding trends within the Global Fund. Consequently, KP-led advocacy in the last grant led to the Kenya grant being highlighted as the most KP friendly grant issued by the Global Fund in 2017-2019. </w:t>
      </w:r>
    </w:p>
    <w:p w14:paraId="1F4F29B0" w14:textId="77777777" w:rsidR="00086021" w:rsidRDefault="009E19AB">
      <w:pPr>
        <w:pStyle w:val="BodyText"/>
        <w:ind w:left="540" w:right="360"/>
        <w:rPr>
          <w:sz w:val="20"/>
          <w:szCs w:val="20"/>
        </w:rPr>
      </w:pPr>
      <w:r>
        <w:rPr>
          <w:sz w:val="20"/>
          <w:szCs w:val="20"/>
        </w:rPr>
        <w:t>Through articulation of issues facing KP by persons who fully understand them, there has been increased accountability within the Global Fund KP allocations. This has led to KP groups being directly funded to implement KP programs. The key messaging for the KP and Priority Population representatives was “communities are the experts in their own programming”. This led to a significant increase in funding for the MSM led programs to implement Global Fund interventions.</w:t>
      </w:r>
    </w:p>
    <w:p w14:paraId="3AFF0155" w14:textId="77777777" w:rsidR="00086021" w:rsidRDefault="00086021">
      <w:pPr>
        <w:pStyle w:val="BodyText"/>
        <w:ind w:left="540" w:right="360"/>
        <w:rPr>
          <w:sz w:val="20"/>
          <w:szCs w:val="20"/>
        </w:rPr>
      </w:pPr>
    </w:p>
    <w:p w14:paraId="63E2DCCA" w14:textId="77777777" w:rsidR="00086021" w:rsidRDefault="009E19AB" w:rsidP="008F6958">
      <w:pPr>
        <w:pStyle w:val="BodyText"/>
        <w:jc w:val="both"/>
        <w:rPr>
          <w:sz w:val="20"/>
          <w:szCs w:val="20"/>
        </w:rPr>
      </w:pPr>
      <w:r>
        <w:rPr>
          <w:sz w:val="20"/>
          <w:szCs w:val="20"/>
        </w:rPr>
        <w:t xml:space="preserve">The bulk of the donor funding for HIV that is channeled through government and government agencies (Figure 14) was noted to have been allocated to general prevention and PMTCT measures; treatment, </w:t>
      </w:r>
      <w:proofErr w:type="gramStart"/>
      <w:r>
        <w:rPr>
          <w:sz w:val="20"/>
          <w:szCs w:val="20"/>
        </w:rPr>
        <w:t>care</w:t>
      </w:r>
      <w:proofErr w:type="gramEnd"/>
      <w:r>
        <w:rPr>
          <w:sz w:val="20"/>
          <w:szCs w:val="20"/>
        </w:rPr>
        <w:t xml:space="preserve"> and support; HIV testing; and HIV/TB integration as shown in Figure 13.</w:t>
      </w:r>
    </w:p>
    <w:p w14:paraId="113D1318" w14:textId="77777777" w:rsidR="00086021" w:rsidRDefault="00086021">
      <w:pPr>
        <w:pStyle w:val="BodyText"/>
        <w:rPr>
          <w:sz w:val="20"/>
          <w:szCs w:val="20"/>
        </w:rPr>
      </w:pPr>
    </w:p>
    <w:p w14:paraId="6F122DCC" w14:textId="77777777" w:rsidR="00086021" w:rsidRDefault="00086021">
      <w:pPr>
        <w:pStyle w:val="BodyText"/>
        <w:rPr>
          <w:sz w:val="20"/>
          <w:szCs w:val="20"/>
        </w:rPr>
        <w:sectPr w:rsidR="00086021">
          <w:headerReference w:type="default" r:id="rId37"/>
          <w:footerReference w:type="default" r:id="rId38"/>
          <w:pgSz w:w="11906" w:h="16838"/>
          <w:pgMar w:top="1440" w:right="1440" w:bottom="1198" w:left="1440" w:header="0" w:footer="708" w:gutter="0"/>
          <w:cols w:space="720"/>
          <w:formProt w:val="0"/>
          <w:docGrid w:linePitch="360" w:charSpace="12288"/>
        </w:sectPr>
      </w:pPr>
    </w:p>
    <w:p w14:paraId="2773E026" w14:textId="77777777" w:rsidR="00086021" w:rsidRPr="00BE546C" w:rsidRDefault="009E19AB">
      <w:pPr>
        <w:pStyle w:val="Figure"/>
        <w:rPr>
          <w:b/>
          <w:bCs/>
          <w:sz w:val="18"/>
          <w:szCs w:val="18"/>
        </w:rPr>
      </w:pPr>
      <w:r w:rsidRPr="00BE546C">
        <w:rPr>
          <w:b/>
          <w:bCs/>
          <w:sz w:val="18"/>
          <w:szCs w:val="18"/>
        </w:rPr>
        <w:lastRenderedPageBreak/>
        <w:t>Figure 14: Resource Allocation for HIV Funding by Global Fund to various entities 2018-2020</w:t>
      </w:r>
    </w:p>
    <w:p w14:paraId="236AE128" w14:textId="77777777" w:rsidR="00086021" w:rsidRDefault="009E19AB">
      <w:pPr>
        <w:pStyle w:val="BodyText"/>
        <w:rPr>
          <w:rFonts w:eastAsia="Abadi Extra Light" w:cs="Abadi Extra Light"/>
          <w:sz w:val="20"/>
          <w:szCs w:val="20"/>
          <w:highlight w:val="white"/>
        </w:rPr>
      </w:pPr>
      <w:r>
        <w:rPr>
          <w:rFonts w:eastAsia="Abadi Extra Light" w:cs="Abadi Extra Light"/>
          <w:noProof/>
          <w:sz w:val="20"/>
          <w:szCs w:val="20"/>
          <w:highlight w:val="white"/>
        </w:rPr>
        <w:drawing>
          <wp:inline distT="0" distB="0" distL="0" distR="0" wp14:anchorId="53273A74" wp14:editId="22FA6210">
            <wp:extent cx="4810125" cy="2804795"/>
            <wp:effectExtent l="0" t="0" r="0" b="0"/>
            <wp:docPr id="24"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0.png"/>
                    <pic:cNvPicPr>
                      <a:picLocks noChangeAspect="1" noChangeArrowheads="1"/>
                    </pic:cNvPicPr>
                  </pic:nvPicPr>
                  <pic:blipFill>
                    <a:blip r:embed="rId39"/>
                    <a:stretch>
                      <a:fillRect/>
                    </a:stretch>
                  </pic:blipFill>
                  <pic:spPr bwMode="auto">
                    <a:xfrm>
                      <a:off x="0" y="0"/>
                      <a:ext cx="4810125" cy="2804795"/>
                    </a:xfrm>
                    <a:prstGeom prst="rect">
                      <a:avLst/>
                    </a:prstGeom>
                  </pic:spPr>
                </pic:pic>
              </a:graphicData>
            </a:graphic>
          </wp:inline>
        </w:drawing>
      </w:r>
    </w:p>
    <w:p w14:paraId="564C7CB8" w14:textId="77777777" w:rsidR="00086021" w:rsidRDefault="009E19AB">
      <w:pPr>
        <w:pStyle w:val="BodyText"/>
        <w:rPr>
          <w:i/>
          <w:iCs/>
          <w:sz w:val="16"/>
          <w:szCs w:val="16"/>
        </w:rPr>
      </w:pPr>
      <w:r>
        <w:rPr>
          <w:i/>
          <w:iCs/>
          <w:sz w:val="16"/>
          <w:szCs w:val="16"/>
        </w:rPr>
        <w:t>Source: NASCOP, 2020</w:t>
      </w:r>
    </w:p>
    <w:p w14:paraId="4F5979BB" w14:textId="77777777" w:rsidR="00086021" w:rsidRDefault="009E19AB">
      <w:pPr>
        <w:pStyle w:val="BodyText"/>
        <w:rPr>
          <w:i/>
          <w:iCs/>
          <w:sz w:val="16"/>
          <w:szCs w:val="16"/>
        </w:rPr>
      </w:pPr>
      <w:r>
        <w:rPr>
          <w:i/>
          <w:iCs/>
          <w:noProof/>
          <w:sz w:val="16"/>
          <w:szCs w:val="16"/>
        </w:rPr>
        <mc:AlternateContent>
          <mc:Choice Requires="wps">
            <w:drawing>
              <wp:anchor distT="0" distB="0" distL="0" distR="0" simplePos="0" relativeHeight="30" behindDoc="0" locked="0" layoutInCell="1" allowOverlap="1" wp14:anchorId="7A90C531" wp14:editId="1EE9F0A6">
                <wp:simplePos x="0" y="0"/>
                <wp:positionH relativeFrom="column">
                  <wp:posOffset>-23495</wp:posOffset>
                </wp:positionH>
                <wp:positionV relativeFrom="paragraph">
                  <wp:posOffset>44450</wp:posOffset>
                </wp:positionV>
                <wp:extent cx="5748655" cy="2292350"/>
                <wp:effectExtent l="0" t="0" r="0" b="0"/>
                <wp:wrapNone/>
                <wp:docPr id="25" name="Shape2_9"/>
                <wp:cNvGraphicFramePr/>
                <a:graphic xmlns:a="http://schemas.openxmlformats.org/drawingml/2006/main">
                  <a:graphicData uri="http://schemas.microsoft.com/office/word/2010/wordprocessingShape">
                    <wps:wsp>
                      <wps:cNvSpPr/>
                      <wps:spPr>
                        <a:xfrm>
                          <a:off x="0" y="0"/>
                          <a:ext cx="5748120" cy="2291760"/>
                        </a:xfrm>
                        <a:prstGeom prst="rect">
                          <a:avLst/>
                        </a:prstGeom>
                        <a:solidFill>
                          <a:srgbClr val="C9211E">
                            <a:alpha val="15000"/>
                          </a:srgbClr>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c="http://schemas.openxmlformats.org/drawingml/2006/chart" xmlns:a1611="http://schemas.microsoft.com/office/drawing/2016/11/main" xmlns:a14="http://schemas.microsoft.com/office/drawing/2010/main" xmlns:pic="http://schemas.openxmlformats.org/drawingml/2006/picture" xmlns:a16="http://schemas.microsoft.com/office/drawing/2014/main" xmlns:a="http://schemas.openxmlformats.org/drawingml/2006/main">
            <w:pict w14:anchorId="0F151AB6">
              <v:rect id="Shape2_9" style="position:absolute;margin-left:-1.85pt;margin-top:3.5pt;width:452.65pt;height:180.5pt;z-index:30;visibility:visible;mso-wrap-style:square;mso-wrap-distance-left:0;mso-wrap-distance-top:0;mso-wrap-distance-right:0;mso-wrap-distance-bottom:0;mso-position-horizontal:absolute;mso-position-horizontal-relative:text;mso-position-vertical:absolute;mso-position-vertical-relative:text;v-text-anchor:top" o:spid="_x0000_s1026" fillcolor="#c9211e" stroked="f" w14:anchorId="252B8C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">
                <v:fill opacity="9766f"/>
              </v:rect>
            </w:pict>
          </mc:Fallback>
        </mc:AlternateContent>
      </w:r>
    </w:p>
    <w:p w14:paraId="369FE170" w14:textId="77777777" w:rsidR="00086021" w:rsidRDefault="009E19AB">
      <w:pPr>
        <w:pStyle w:val="BodyText"/>
        <w:ind w:left="540" w:right="360"/>
        <w:rPr>
          <w:b/>
          <w:bCs/>
          <w:sz w:val="20"/>
          <w:szCs w:val="20"/>
        </w:rPr>
      </w:pPr>
      <w:r>
        <w:rPr>
          <w:b/>
          <w:bCs/>
          <w:sz w:val="20"/>
          <w:szCs w:val="20"/>
        </w:rPr>
        <w:t>Advocacy Opportunity for More On-Budget Financing</w:t>
      </w:r>
    </w:p>
    <w:p w14:paraId="2E984BBF" w14:textId="77777777" w:rsidR="00086021" w:rsidRDefault="009E19AB">
      <w:pPr>
        <w:pStyle w:val="BodyText"/>
        <w:ind w:left="540" w:right="360"/>
        <w:rPr>
          <w:rFonts w:eastAsia="Abadi Extra Light" w:cs="Abadi Extra Light"/>
          <w:sz w:val="20"/>
          <w:szCs w:val="20"/>
        </w:rPr>
      </w:pPr>
      <w:r>
        <w:rPr>
          <w:rFonts w:eastAsia="Abadi Extra Light" w:cs="Abadi Extra Light"/>
          <w:sz w:val="20"/>
          <w:szCs w:val="20"/>
        </w:rPr>
        <w:t>The significant off-budget financing of KP and AGYWs limits the visibility and prioritization and ownership of these key groups within government. Further, this threatens integration and sustainability of the interventions within the health system. It is commendable that the donor community had prioritized and instituted phased integration and transition of HIV care services to local public and private partners and systems (USAID, 2020).</w:t>
      </w:r>
    </w:p>
    <w:p w14:paraId="239EB1DC" w14:textId="77777777" w:rsidR="00086021" w:rsidRDefault="00086021">
      <w:pPr>
        <w:pStyle w:val="BodyText"/>
        <w:ind w:left="540" w:right="360"/>
        <w:rPr>
          <w:sz w:val="20"/>
          <w:szCs w:val="20"/>
        </w:rPr>
      </w:pPr>
    </w:p>
    <w:p w14:paraId="1A1A05BD" w14:textId="77777777" w:rsidR="00086021" w:rsidRDefault="009E19AB">
      <w:pPr>
        <w:pStyle w:val="BodyText"/>
        <w:ind w:left="540" w:right="360"/>
        <w:rPr>
          <w:rFonts w:eastAsia="Abadi Extra Light" w:cs="Abadi Extra Light"/>
          <w:sz w:val="20"/>
          <w:szCs w:val="20"/>
        </w:rPr>
      </w:pPr>
      <w:r>
        <w:rPr>
          <w:rFonts w:eastAsia="Abadi Extra Light" w:cs="Abadi Extra Light"/>
          <w:sz w:val="20"/>
          <w:szCs w:val="20"/>
        </w:rPr>
        <w:t>This provides an opportunity for continued advocacy for integration of funding and implementation of KP and AGYW programs within the health system at both National and County Government levels.</w:t>
      </w:r>
    </w:p>
    <w:p w14:paraId="735ADBB4" w14:textId="77777777" w:rsidR="00086021" w:rsidRDefault="00086021">
      <w:pPr>
        <w:pStyle w:val="BodyText"/>
        <w:ind w:left="540" w:right="360"/>
        <w:rPr>
          <w:rFonts w:eastAsia="Abadi Extra Light" w:cs="Abadi Extra Light"/>
          <w:sz w:val="20"/>
          <w:szCs w:val="20"/>
        </w:rPr>
      </w:pPr>
    </w:p>
    <w:p w14:paraId="7FAB837F" w14:textId="77777777" w:rsidR="00086021" w:rsidRDefault="009E19AB">
      <w:pPr>
        <w:pStyle w:val="Heading5"/>
      </w:pPr>
      <w:bookmarkStart w:id="20" w:name="_Toc56997938"/>
      <w:r>
        <w:t>3.2.2.1 Budgeting process</w:t>
      </w:r>
      <w:bookmarkEnd w:id="20"/>
    </w:p>
    <w:p w14:paraId="71E089C2" w14:textId="77777777" w:rsidR="00086021" w:rsidRDefault="00086021"/>
    <w:p w14:paraId="4E11C399" w14:textId="77777777" w:rsidR="00086021" w:rsidRDefault="009E19AB" w:rsidP="008F6958">
      <w:pPr>
        <w:pStyle w:val="BodyText"/>
        <w:jc w:val="both"/>
        <w:rPr>
          <w:sz w:val="20"/>
          <w:szCs w:val="20"/>
        </w:rPr>
      </w:pPr>
      <w:r>
        <w:rPr>
          <w:sz w:val="20"/>
          <w:szCs w:val="20"/>
        </w:rPr>
        <w:t xml:space="preserve">In Kenya, the budgeting process is designed to align to attainment of the long-term national goals outlined in the Vision 2030. In the medium term, the budgets align to the Medium-Term Expenditure Framework (MTEF) that guides public expenditure over a 3-year span. To ensure that public expenditure efficiently contributes to the national policies, the PFM Act 2012 (Section 25) anchors the annual budgeting to the MTEF while adopting a performance-based approach. </w:t>
      </w:r>
    </w:p>
    <w:p w14:paraId="1A89A29F" w14:textId="77777777" w:rsidR="00086021" w:rsidRDefault="009E19AB">
      <w:pPr>
        <w:pStyle w:val="BodyText"/>
        <w:rPr>
          <w:sz w:val="20"/>
          <w:szCs w:val="20"/>
        </w:rPr>
      </w:pPr>
      <w:r>
        <w:rPr>
          <w:noProof/>
          <w:sz w:val="20"/>
          <w:szCs w:val="20"/>
        </w:rPr>
        <mc:AlternateContent>
          <mc:Choice Requires="wps">
            <w:drawing>
              <wp:anchor distT="0" distB="0" distL="0" distR="0" simplePos="0" relativeHeight="31" behindDoc="0" locked="0" layoutInCell="1" allowOverlap="1" wp14:anchorId="0FC1CFEC" wp14:editId="19524C61">
                <wp:simplePos x="0" y="0"/>
                <wp:positionH relativeFrom="column">
                  <wp:posOffset>5715</wp:posOffset>
                </wp:positionH>
                <wp:positionV relativeFrom="paragraph">
                  <wp:posOffset>76835</wp:posOffset>
                </wp:positionV>
                <wp:extent cx="5748655" cy="1386840"/>
                <wp:effectExtent l="0" t="0" r="0" b="0"/>
                <wp:wrapNone/>
                <wp:docPr id="26" name="Shape2_10"/>
                <wp:cNvGraphicFramePr/>
                <a:graphic xmlns:a="http://schemas.openxmlformats.org/drawingml/2006/main">
                  <a:graphicData uri="http://schemas.microsoft.com/office/word/2010/wordprocessingShape">
                    <wps:wsp>
                      <wps:cNvSpPr/>
                      <wps:spPr>
                        <a:xfrm>
                          <a:off x="0" y="0"/>
                          <a:ext cx="5748120" cy="1386360"/>
                        </a:xfrm>
                        <a:prstGeom prst="rect">
                          <a:avLst/>
                        </a:prstGeom>
                        <a:solidFill>
                          <a:srgbClr val="C9211E">
                            <a:alpha val="15000"/>
                          </a:srgbClr>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c="http://schemas.openxmlformats.org/drawingml/2006/chart" xmlns:a1611="http://schemas.microsoft.com/office/drawing/2016/11/main" xmlns:a14="http://schemas.microsoft.com/office/drawing/2010/main" xmlns:pic="http://schemas.openxmlformats.org/drawingml/2006/picture" xmlns:a16="http://schemas.microsoft.com/office/drawing/2014/main" xmlns:a="http://schemas.openxmlformats.org/drawingml/2006/main">
            <w:pict w14:anchorId="479FBBE5">
              <v:rect id="Shape2_10" style="position:absolute;margin-left:.45pt;margin-top:6.05pt;width:452.65pt;height:109.2pt;z-index:31;visibility:visible;mso-wrap-style:square;mso-wrap-distance-left:0;mso-wrap-distance-top:0;mso-wrap-distance-right:0;mso-wrap-distance-bottom:0;mso-position-horizontal:absolute;mso-position-horizontal-relative:text;mso-position-vertical:absolute;mso-position-vertical-relative:text;v-text-anchor:top" o:spid="_x0000_s1026" fillcolor="#c9211e" stroked="f" w14:anchorId="48BD2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">
                <v:fill opacity="9766f"/>
              </v:rect>
            </w:pict>
          </mc:Fallback>
        </mc:AlternateContent>
      </w:r>
    </w:p>
    <w:p w14:paraId="2D305FAA" w14:textId="77777777" w:rsidR="00086021" w:rsidRDefault="009E19AB">
      <w:pPr>
        <w:pStyle w:val="BodyText"/>
        <w:ind w:left="540"/>
        <w:rPr>
          <w:b/>
          <w:bCs/>
          <w:sz w:val="24"/>
        </w:rPr>
      </w:pPr>
      <w:r>
        <w:rPr>
          <w:b/>
          <w:bCs/>
          <w:sz w:val="24"/>
        </w:rPr>
        <w:t>Misalignment between Budgeting and Planning for Health in Kenya</w:t>
      </w:r>
    </w:p>
    <w:p w14:paraId="33D2D58D" w14:textId="77777777" w:rsidR="00086021" w:rsidRDefault="009E19AB">
      <w:pPr>
        <w:pStyle w:val="BodyText"/>
        <w:ind w:left="540" w:right="360"/>
        <w:rPr>
          <w:sz w:val="20"/>
          <w:szCs w:val="20"/>
        </w:rPr>
      </w:pPr>
      <w:r>
        <w:rPr>
          <w:sz w:val="20"/>
          <w:szCs w:val="20"/>
        </w:rPr>
        <w:t xml:space="preserve">The budgeting and planning for health in Kenya were noted to be misaligned due to </w:t>
      </w:r>
      <w:r>
        <w:rPr>
          <w:rFonts w:eastAsia="Abadi Extra Light" w:cs="Abadi Extra Light"/>
          <w:sz w:val="20"/>
          <w:szCs w:val="20"/>
        </w:rPr>
        <w:t xml:space="preserve">weak systems, poor stewardship, unreliable </w:t>
      </w:r>
      <w:proofErr w:type="gramStart"/>
      <w:r>
        <w:rPr>
          <w:rFonts w:eastAsia="Abadi Extra Light" w:cs="Abadi Extra Light"/>
          <w:sz w:val="20"/>
          <w:szCs w:val="20"/>
        </w:rPr>
        <w:t>data</w:t>
      </w:r>
      <w:proofErr w:type="gramEnd"/>
      <w:r>
        <w:rPr>
          <w:rFonts w:eastAsia="Abadi Extra Light" w:cs="Abadi Extra Light"/>
          <w:sz w:val="20"/>
          <w:szCs w:val="20"/>
        </w:rPr>
        <w:t xml:space="preserve"> and poor stakeholder participation. The misalignment persisted even after the adoption of MTEF as a planning tool.</w:t>
      </w:r>
    </w:p>
    <w:p w14:paraId="3A573F11" w14:textId="77777777" w:rsidR="00086021" w:rsidRDefault="009E19AB">
      <w:pPr>
        <w:pStyle w:val="BodyText"/>
        <w:ind w:left="540" w:right="360"/>
        <w:rPr>
          <w:sz w:val="20"/>
          <w:szCs w:val="20"/>
        </w:rPr>
      </w:pPr>
      <w:r>
        <w:rPr>
          <w:sz w:val="20"/>
          <w:szCs w:val="20"/>
        </w:rPr>
        <w:t>Source: (Tsofa, Molyneux, &amp; Goodman, 2016; Le Houerou &amp; Taliercio, 2002)</w:t>
      </w:r>
    </w:p>
    <w:p w14:paraId="401B3589" w14:textId="77777777" w:rsidR="00086021" w:rsidRDefault="009E19AB">
      <w:pPr>
        <w:pStyle w:val="BodyText"/>
        <w:ind w:left="720"/>
        <w:rPr>
          <w:sz w:val="20"/>
          <w:szCs w:val="20"/>
        </w:rPr>
      </w:pPr>
      <w:r>
        <w:br w:type="page"/>
      </w:r>
    </w:p>
    <w:p w14:paraId="6EE191BF" w14:textId="77777777" w:rsidR="00086021" w:rsidRDefault="009E19AB">
      <w:pPr>
        <w:pStyle w:val="BodyText"/>
        <w:ind w:left="540"/>
      </w:pPr>
      <w:r>
        <w:rPr>
          <w:b/>
          <w:bCs/>
          <w:sz w:val="20"/>
          <w:szCs w:val="20"/>
        </w:rPr>
        <w:lastRenderedPageBreak/>
        <w:t xml:space="preserve">a) </w:t>
      </w:r>
      <w:bookmarkStart w:id="21" w:name="_Toc56997939"/>
      <w:r>
        <w:rPr>
          <w:b/>
          <w:bCs/>
          <w:sz w:val="20"/>
          <w:szCs w:val="20"/>
        </w:rPr>
        <w:t>Medium Term Expenditure Framework (MTEF)</w:t>
      </w:r>
      <w:bookmarkEnd w:id="21"/>
    </w:p>
    <w:p w14:paraId="5EA14971" w14:textId="77777777" w:rsidR="00086021" w:rsidRDefault="009E19AB" w:rsidP="008F6958">
      <w:pPr>
        <w:pStyle w:val="BodyText"/>
        <w:jc w:val="both"/>
        <w:rPr>
          <w:sz w:val="20"/>
          <w:szCs w:val="20"/>
        </w:rPr>
      </w:pPr>
      <w:r>
        <w:rPr>
          <w:sz w:val="20"/>
          <w:szCs w:val="20"/>
        </w:rPr>
        <w:t xml:space="preserve">The MTEF is a transparent planning and budget formulation process within which the Cabinet and central agencies establish credible contracts for allocating public resources to their strategic priorities while ensuring overall fiscal discipline. The process entails two main objectives: the first aims at setting fiscal targets, the second aims at allocating resources to strategic priorities within these targets. In implementing the MTEF in Kenya, ministries, </w:t>
      </w:r>
      <w:proofErr w:type="gramStart"/>
      <w:r>
        <w:rPr>
          <w:sz w:val="20"/>
          <w:szCs w:val="20"/>
        </w:rPr>
        <w:t>departments</w:t>
      </w:r>
      <w:proofErr w:type="gramEnd"/>
      <w:r>
        <w:rPr>
          <w:sz w:val="20"/>
          <w:szCs w:val="20"/>
        </w:rPr>
        <w:t xml:space="preserve"> and state agencies are required to focus on the expected outcomes of their expenditures and programmes. The annual budget and the (3-year) rolling MTEF inherently provides a way to evaluate the realization of the outputs and outcomes and their contribution to the overall economic growth of the economy (GOK, 2020). Annex 4 shows an MTEF aligned FY2021/22 budget calendar.</w:t>
      </w:r>
    </w:p>
    <w:p w14:paraId="6C8B5408" w14:textId="77777777" w:rsidR="00086021" w:rsidRDefault="009E19AB" w:rsidP="008F6958">
      <w:pPr>
        <w:pStyle w:val="BodyText"/>
        <w:jc w:val="both"/>
        <w:rPr>
          <w:sz w:val="20"/>
          <w:szCs w:val="20"/>
        </w:rPr>
      </w:pPr>
      <w:r>
        <w:rPr>
          <w:sz w:val="20"/>
          <w:szCs w:val="20"/>
        </w:rPr>
        <w:t>The MTEF also encourages political buy-in by ensuring consistent cabinet briefing and approval at all stages of the budgeting process alongside significant stakeholder engagement.</w:t>
      </w:r>
    </w:p>
    <w:p w14:paraId="3823AAE5" w14:textId="77777777" w:rsidR="00086021" w:rsidRDefault="00086021" w:rsidP="008F6958">
      <w:pPr>
        <w:pStyle w:val="BodyText"/>
        <w:jc w:val="both"/>
        <w:rPr>
          <w:sz w:val="20"/>
          <w:szCs w:val="20"/>
        </w:rPr>
      </w:pPr>
    </w:p>
    <w:p w14:paraId="4B5FF3EC" w14:textId="77777777" w:rsidR="00086021" w:rsidRDefault="009E19AB">
      <w:pPr>
        <w:pStyle w:val="Quote"/>
      </w:pPr>
      <w:r>
        <w:t>“The annual budget and the (3-year) rolling MTEF inherently provides a way to evaluate the realization of the outputs and outcomes and their contribution to the overall economic growth of the economy.” – The National Treasury</w:t>
      </w:r>
    </w:p>
    <w:p w14:paraId="3B1D91AE" w14:textId="77777777" w:rsidR="00086021" w:rsidRDefault="00086021">
      <w:pPr>
        <w:pStyle w:val="Figure"/>
      </w:pPr>
    </w:p>
    <w:p w14:paraId="786A9E18" w14:textId="65409D7D" w:rsidR="00086021" w:rsidRDefault="009E19AB">
      <w:pPr>
        <w:pStyle w:val="Figure"/>
        <w:rPr>
          <w:b/>
          <w:bCs/>
          <w:sz w:val="18"/>
          <w:szCs w:val="18"/>
        </w:rPr>
      </w:pPr>
      <w:r w:rsidRPr="00BE546C">
        <w:rPr>
          <w:b/>
          <w:bCs/>
          <w:sz w:val="18"/>
          <w:szCs w:val="18"/>
        </w:rPr>
        <w:t>Figure 15: MTEF Flow Summary</w:t>
      </w:r>
    </w:p>
    <w:p w14:paraId="7AE6A2BE" w14:textId="77777777" w:rsidR="00BE546C" w:rsidRPr="00BE546C" w:rsidRDefault="00BE546C">
      <w:pPr>
        <w:pStyle w:val="Figure"/>
        <w:rPr>
          <w:b/>
          <w:bCs/>
          <w:sz w:val="18"/>
          <w:szCs w:val="18"/>
        </w:rPr>
      </w:pPr>
    </w:p>
    <w:p w14:paraId="2D3FEF6A" w14:textId="77777777" w:rsidR="00086021" w:rsidRDefault="009E19AB">
      <w:pPr>
        <w:pStyle w:val="Figure"/>
      </w:pPr>
      <w:r>
        <w:rPr>
          <w:noProof/>
        </w:rPr>
        <w:drawing>
          <wp:inline distT="0" distB="0" distL="0" distR="0" wp14:anchorId="0548EF32" wp14:editId="5A0D0F5A">
            <wp:extent cx="4065905" cy="3113405"/>
            <wp:effectExtent l="0" t="0" r="0" b="0"/>
            <wp:docPr id="2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6.png"/>
                    <pic:cNvPicPr>
                      <a:picLocks noChangeAspect="1" noChangeArrowheads="1"/>
                    </pic:cNvPicPr>
                  </pic:nvPicPr>
                  <pic:blipFill>
                    <a:blip r:embed="rId40"/>
                    <a:stretch>
                      <a:fillRect/>
                    </a:stretch>
                  </pic:blipFill>
                  <pic:spPr bwMode="auto">
                    <a:xfrm>
                      <a:off x="0" y="0"/>
                      <a:ext cx="4065905" cy="3113405"/>
                    </a:xfrm>
                    <a:prstGeom prst="rect">
                      <a:avLst/>
                    </a:prstGeom>
                  </pic:spPr>
                </pic:pic>
              </a:graphicData>
            </a:graphic>
          </wp:inline>
        </w:drawing>
      </w:r>
    </w:p>
    <w:p w14:paraId="08D0702E" w14:textId="77777777" w:rsidR="00086021" w:rsidRDefault="009E19AB">
      <w:pPr>
        <w:pStyle w:val="BodyText"/>
        <w:rPr>
          <w:i/>
          <w:iCs/>
          <w:sz w:val="16"/>
          <w:szCs w:val="16"/>
        </w:rPr>
      </w:pPr>
      <w:r>
        <w:rPr>
          <w:i/>
          <w:iCs/>
          <w:sz w:val="16"/>
          <w:szCs w:val="16"/>
        </w:rPr>
        <w:t>Source: Adapted from the World Bank,1998</w:t>
      </w:r>
    </w:p>
    <w:p w14:paraId="3F6C50CE" w14:textId="77777777" w:rsidR="00086021" w:rsidRDefault="009E19AB">
      <w:pPr>
        <w:pStyle w:val="BodyText"/>
        <w:numPr>
          <w:ilvl w:val="0"/>
          <w:numId w:val="2"/>
        </w:numPr>
        <w:rPr>
          <w:sz w:val="20"/>
          <w:szCs w:val="20"/>
        </w:rPr>
      </w:pPr>
      <w:bookmarkStart w:id="22" w:name="_Toc56997940"/>
      <w:r>
        <w:rPr>
          <w:sz w:val="20"/>
          <w:szCs w:val="20"/>
        </w:rPr>
        <w:t>Program Based Budgeting (PBB)</w:t>
      </w:r>
      <w:bookmarkEnd w:id="22"/>
    </w:p>
    <w:p w14:paraId="3964BC3D" w14:textId="77777777" w:rsidR="00086021" w:rsidRDefault="009E19AB" w:rsidP="008F6958">
      <w:pPr>
        <w:pStyle w:val="BodyText"/>
        <w:jc w:val="both"/>
        <w:rPr>
          <w:sz w:val="20"/>
          <w:szCs w:val="20"/>
        </w:rPr>
      </w:pPr>
      <w:r>
        <w:rPr>
          <w:sz w:val="20"/>
          <w:szCs w:val="20"/>
        </w:rPr>
        <w:t>PBB is a governance tool aimed at improving efficiency and effectiveness of public expenditure by linking the funding of public sector organizations to the results they deliver, while tracking performance for decision making (IMF, 2009). PBB as an approach ensures that resource allocation and utilization are aligned to specific policy objectives rather than based out previous spending trends. Resultant budgets for each economic sector are organized along programs and subprograms that contribute towards attaining the desired policy objective. Further, the programs and subprograms have specific targets and indicators. (IMF, 2009; IBP, 2015)</w:t>
      </w:r>
      <w:r>
        <w:br w:type="page"/>
      </w:r>
    </w:p>
    <w:p w14:paraId="06809F00" w14:textId="0F6076DB" w:rsidR="008F6958" w:rsidRDefault="009E19AB" w:rsidP="008F6958">
      <w:pPr>
        <w:pStyle w:val="BodyText"/>
        <w:jc w:val="both"/>
        <w:rPr>
          <w:sz w:val="20"/>
          <w:szCs w:val="20"/>
        </w:rPr>
      </w:pPr>
      <w:r>
        <w:rPr>
          <w:sz w:val="20"/>
          <w:szCs w:val="20"/>
        </w:rPr>
        <w:lastRenderedPageBreak/>
        <w:t xml:space="preserve">In Kenya, the PFM Act of 2012 (Section 25 &amp; 35) provides for a transition in the budgeting approach from the traditional input-based </w:t>
      </w:r>
      <w:proofErr w:type="gramStart"/>
      <w:r>
        <w:rPr>
          <w:sz w:val="20"/>
          <w:szCs w:val="20"/>
        </w:rPr>
        <w:t>line item</w:t>
      </w:r>
      <w:proofErr w:type="gramEnd"/>
      <w:r>
        <w:rPr>
          <w:sz w:val="20"/>
          <w:szCs w:val="20"/>
        </w:rPr>
        <w:t xml:space="preserve"> budgeting, which gives little emphasis on policy objectives and outcomes and does not provide adequate information for fiscal policy decision making, to </w:t>
      </w:r>
      <w:r w:rsidR="008F6958">
        <w:rPr>
          <w:sz w:val="20"/>
          <w:szCs w:val="20"/>
        </w:rPr>
        <w:t>program-based</w:t>
      </w:r>
      <w:r>
        <w:rPr>
          <w:sz w:val="20"/>
          <w:szCs w:val="20"/>
        </w:rPr>
        <w:t xml:space="preserve"> budgeting approach. As a result, the country had its first PBB in FY 2012/13. The subsequent budgets saw significant refinements embracing more policy alignment, clarity, predictability, </w:t>
      </w:r>
      <w:proofErr w:type="gramStart"/>
      <w:r>
        <w:rPr>
          <w:sz w:val="20"/>
          <w:szCs w:val="20"/>
        </w:rPr>
        <w:t>transparency</w:t>
      </w:r>
      <w:proofErr w:type="gramEnd"/>
      <w:r>
        <w:rPr>
          <w:sz w:val="20"/>
          <w:szCs w:val="20"/>
        </w:rPr>
        <w:t xml:space="preserve"> and accountability (IBP, 2015; OECD, 2014)</w:t>
      </w:r>
      <w:r w:rsidR="008F6958">
        <w:rPr>
          <w:sz w:val="20"/>
          <w:szCs w:val="20"/>
        </w:rPr>
        <w:t>.</w:t>
      </w:r>
    </w:p>
    <w:p w14:paraId="66882BDB" w14:textId="77777777" w:rsidR="00086021" w:rsidRDefault="009E19AB" w:rsidP="008F6958">
      <w:pPr>
        <w:pStyle w:val="BodyText"/>
        <w:jc w:val="both"/>
        <w:rPr>
          <w:sz w:val="20"/>
          <w:szCs w:val="20"/>
        </w:rPr>
      </w:pPr>
      <w:r>
        <w:rPr>
          <w:rFonts w:eastAsia="Abadi Extra Light" w:cs="Abadi Extra Light"/>
          <w:sz w:val="20"/>
          <w:szCs w:val="20"/>
        </w:rPr>
        <w:t xml:space="preserve">The PFM Act 2012 outlines the budget process for the National Government (Section 35-45) and the County Government (Section 117- 137). The process evolves through four major stages, </w:t>
      </w:r>
      <w:proofErr w:type="gramStart"/>
      <w:r>
        <w:rPr>
          <w:rFonts w:eastAsia="Abadi Extra Light" w:cs="Abadi Extra Light"/>
          <w:sz w:val="20"/>
          <w:szCs w:val="20"/>
        </w:rPr>
        <w:t>i.e.</w:t>
      </w:r>
      <w:proofErr w:type="gramEnd"/>
      <w:r>
        <w:rPr>
          <w:rFonts w:eastAsia="Abadi Extra Light" w:cs="Abadi Extra Light"/>
          <w:sz w:val="20"/>
          <w:szCs w:val="20"/>
        </w:rPr>
        <w:t xml:space="preserve"> formulation, approval, implementation, and evaluation (Githinji, 2020) discussed below. The progression, which is largely synchronized at both County and National levels, is outlined in Annex 6,7 and 8.</w:t>
      </w:r>
      <w:r>
        <w:rPr>
          <w:rFonts w:eastAsia="Arial" w:cs="Arial"/>
          <w:sz w:val="20"/>
          <w:szCs w:val="20"/>
        </w:rPr>
        <w:t xml:space="preserve"> </w:t>
      </w:r>
    </w:p>
    <w:p w14:paraId="11074D53" w14:textId="77777777" w:rsidR="00086021" w:rsidRDefault="009E19AB">
      <w:pPr>
        <w:pStyle w:val="BodyText"/>
        <w:rPr>
          <w:rFonts w:eastAsia="Arial" w:cs="Arial"/>
          <w:sz w:val="20"/>
          <w:szCs w:val="20"/>
        </w:rPr>
      </w:pPr>
      <w:r>
        <w:rPr>
          <w:rFonts w:eastAsia="Arial" w:cs="Arial"/>
          <w:noProof/>
          <w:sz w:val="20"/>
          <w:szCs w:val="20"/>
        </w:rPr>
        <mc:AlternateContent>
          <mc:Choice Requires="wps">
            <w:drawing>
              <wp:anchor distT="0" distB="0" distL="0" distR="0" simplePos="0" relativeHeight="33" behindDoc="0" locked="0" layoutInCell="1" allowOverlap="1" wp14:anchorId="4212E6C2" wp14:editId="6A2B6C01">
                <wp:simplePos x="0" y="0"/>
                <wp:positionH relativeFrom="column">
                  <wp:posOffset>-4445</wp:posOffset>
                </wp:positionH>
                <wp:positionV relativeFrom="paragraph">
                  <wp:posOffset>131445</wp:posOffset>
                </wp:positionV>
                <wp:extent cx="5748655" cy="1837690"/>
                <wp:effectExtent l="0" t="0" r="0" b="0"/>
                <wp:wrapNone/>
                <wp:docPr id="28" name="Shape2_11"/>
                <wp:cNvGraphicFramePr/>
                <a:graphic xmlns:a="http://schemas.openxmlformats.org/drawingml/2006/main">
                  <a:graphicData uri="http://schemas.microsoft.com/office/word/2010/wordprocessingShape">
                    <wps:wsp>
                      <wps:cNvSpPr/>
                      <wps:spPr>
                        <a:xfrm>
                          <a:off x="0" y="0"/>
                          <a:ext cx="5748120" cy="1837080"/>
                        </a:xfrm>
                        <a:prstGeom prst="rect">
                          <a:avLst/>
                        </a:prstGeom>
                        <a:solidFill>
                          <a:srgbClr val="C9211E">
                            <a:alpha val="15000"/>
                          </a:srgbClr>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c="http://schemas.openxmlformats.org/drawingml/2006/chart" xmlns:a1611="http://schemas.microsoft.com/office/drawing/2016/11/main" xmlns:a14="http://schemas.microsoft.com/office/drawing/2010/main" xmlns:pic="http://schemas.openxmlformats.org/drawingml/2006/picture" xmlns:a16="http://schemas.microsoft.com/office/drawing/2014/main" xmlns:a="http://schemas.openxmlformats.org/drawingml/2006/main">
            <w:pict w14:anchorId="0F2F76E6">
              <v:rect id="Shape2_11" style="position:absolute;margin-left:-.35pt;margin-top:10.35pt;width:452.65pt;height:144.7pt;z-index:33;visibility:visible;mso-wrap-style:square;mso-wrap-distance-left:0;mso-wrap-distance-top:0;mso-wrap-distance-right:0;mso-wrap-distance-bottom:0;mso-position-horizontal:absolute;mso-position-horizontal-relative:text;mso-position-vertical:absolute;mso-position-vertical-relative:text;v-text-anchor:top" o:spid="_x0000_s1026" fillcolor="#c9211e" stroked="f" w14:anchorId="388AA7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">
                <v:fill opacity="9766f"/>
              </v:rect>
            </w:pict>
          </mc:Fallback>
        </mc:AlternateContent>
      </w:r>
    </w:p>
    <w:p w14:paraId="602E17AE" w14:textId="77777777" w:rsidR="00086021" w:rsidRDefault="009E19AB">
      <w:pPr>
        <w:pStyle w:val="BodyText"/>
        <w:ind w:left="540" w:right="360"/>
        <w:rPr>
          <w:b/>
          <w:bCs/>
          <w:sz w:val="24"/>
        </w:rPr>
      </w:pPr>
      <w:r>
        <w:rPr>
          <w:b/>
          <w:bCs/>
          <w:sz w:val="24"/>
        </w:rPr>
        <w:t>Advocacy for Strengthening of Program Based Budgeting in Kenya</w:t>
      </w:r>
    </w:p>
    <w:p w14:paraId="634F66B2" w14:textId="77777777" w:rsidR="00086021" w:rsidRDefault="009E19AB">
      <w:pPr>
        <w:pStyle w:val="BodyText"/>
        <w:ind w:left="540" w:right="360"/>
        <w:rPr>
          <w:sz w:val="20"/>
          <w:szCs w:val="20"/>
        </w:rPr>
      </w:pPr>
      <w:r>
        <w:rPr>
          <w:sz w:val="20"/>
          <w:szCs w:val="20"/>
        </w:rPr>
        <w:t>PBB has not yet been implemented in a way that sufficiently monitors actual spending of retained line-item allocations against programmatic objectives. The National Treasury continues to rely on historical allocations to traditional line-items with marginal adjustments year-over-year. Budgeting in this way fails to ensure that funding is matched to program priorities. Successful PBB requires adequate systems and processes to link accounting to program implementation—such systems have not yet been deployed.</w:t>
      </w:r>
    </w:p>
    <w:p w14:paraId="7823977F" w14:textId="77777777" w:rsidR="00086021" w:rsidRDefault="009E19AB">
      <w:pPr>
        <w:pStyle w:val="BodyText"/>
        <w:ind w:left="540" w:right="360"/>
        <w:rPr>
          <w:sz w:val="16"/>
          <w:szCs w:val="16"/>
        </w:rPr>
      </w:pPr>
      <w:r>
        <w:rPr>
          <w:rFonts w:eastAsia="Abadi Extra Light" w:cs="Abadi Extra Light"/>
          <w:i/>
          <w:iCs/>
          <w:sz w:val="16"/>
          <w:szCs w:val="16"/>
        </w:rPr>
        <w:t xml:space="preserve">Source: </w:t>
      </w:r>
      <w:r>
        <w:rPr>
          <w:rFonts w:eastAsia="Arial" w:cs="Arial"/>
          <w:i/>
          <w:iCs/>
          <w:sz w:val="16"/>
          <w:szCs w:val="16"/>
        </w:rPr>
        <w:t>(NACC, 2018)</w:t>
      </w:r>
    </w:p>
    <w:p w14:paraId="0877E55E" w14:textId="77777777" w:rsidR="00086021" w:rsidRDefault="00086021">
      <w:pPr>
        <w:pStyle w:val="BodyText"/>
        <w:ind w:left="540" w:right="360"/>
        <w:rPr>
          <w:rFonts w:eastAsia="Arial" w:cs="Arial"/>
          <w:i/>
          <w:iCs/>
          <w:sz w:val="16"/>
          <w:szCs w:val="16"/>
        </w:rPr>
      </w:pPr>
    </w:p>
    <w:p w14:paraId="7AA6EEEF" w14:textId="77777777" w:rsidR="00086021" w:rsidRDefault="009E19AB">
      <w:pPr>
        <w:pStyle w:val="BodyText"/>
        <w:numPr>
          <w:ilvl w:val="0"/>
          <w:numId w:val="3"/>
        </w:numPr>
        <w:rPr>
          <w:b/>
          <w:bCs/>
          <w:sz w:val="20"/>
          <w:szCs w:val="20"/>
        </w:rPr>
      </w:pPr>
      <w:bookmarkStart w:id="23" w:name="_Toc56997941"/>
      <w:r>
        <w:rPr>
          <w:b/>
          <w:bCs/>
          <w:sz w:val="20"/>
          <w:szCs w:val="20"/>
        </w:rPr>
        <w:t>Budget Formulation (Prioritization and Budget Estimates)</w:t>
      </w:r>
      <w:bookmarkEnd w:id="23"/>
    </w:p>
    <w:p w14:paraId="712931F8" w14:textId="77777777" w:rsidR="00086021" w:rsidRDefault="009E19AB" w:rsidP="008F6958">
      <w:pPr>
        <w:pStyle w:val="BodyText"/>
        <w:jc w:val="both"/>
        <w:rPr>
          <w:sz w:val="20"/>
          <w:szCs w:val="20"/>
        </w:rPr>
      </w:pPr>
      <w:r>
        <w:rPr>
          <w:sz w:val="20"/>
          <w:szCs w:val="20"/>
        </w:rPr>
        <w:t>This stage includes; i) integrated planning process consisting of both long-term and medium-term planning; ii) planning and determining financial and economic policies and priorities over the medium term; iii) preparing overall estimates in the form of the Budget Policy Statement of national; iv) government revenues and expenditures, and general estimations in the form of the County Fiscal Strategy Paper (CFSP) for the county governments and v) preparing the budget estimates. The executive arm of the government is in control of the formulation stage.</w:t>
      </w:r>
    </w:p>
    <w:p w14:paraId="546EEDB4" w14:textId="77777777" w:rsidR="00086021" w:rsidRDefault="009E19AB" w:rsidP="008F6958">
      <w:pPr>
        <w:pStyle w:val="BodyText"/>
        <w:jc w:val="both"/>
        <w:rPr>
          <w:sz w:val="20"/>
          <w:szCs w:val="20"/>
        </w:rPr>
      </w:pPr>
      <w:r>
        <w:rPr>
          <w:rFonts w:eastAsia="Abadi Extra Light" w:cs="Abadi Extra Light"/>
          <w:sz w:val="20"/>
          <w:szCs w:val="20"/>
        </w:rPr>
        <w:t>In principle, the MoH/ CDOH’s role in the process of budget formulation boils down to three key inputs; a) Analysis of expenditure forecasts against expected revenues; the aim here is to estimate the potential for increased health spending. Institutionalizing fiscal space for health analysis within the Ministry of Health will be an essential step in this direction; b) Drafting of credible, well-defined health budget proposals. This requires systematizing costing and priority-setting exercises within the defined envelope; c) Engaging in budget negotiations and advocating for a sound health budget allocation (</w:t>
      </w:r>
      <w:r>
        <w:rPr>
          <w:rFonts w:eastAsia="Abadi Extra Light" w:cs="Abadi Extra Light"/>
          <w:i/>
          <w:sz w:val="20"/>
          <w:szCs w:val="20"/>
        </w:rPr>
        <w:t>All the Key Stages in the Budget Process in Kenya</w:t>
      </w:r>
      <w:r>
        <w:rPr>
          <w:rFonts w:eastAsia="Abadi Extra Light" w:cs="Abadi Extra Light"/>
          <w:sz w:val="20"/>
          <w:szCs w:val="20"/>
        </w:rPr>
        <w:t>, n.d.).</w:t>
      </w:r>
    </w:p>
    <w:p w14:paraId="3EA200E9" w14:textId="77777777" w:rsidR="00086021" w:rsidRDefault="009E19AB" w:rsidP="008F6958">
      <w:pPr>
        <w:pStyle w:val="BodyText"/>
        <w:jc w:val="both"/>
        <w:rPr>
          <w:sz w:val="20"/>
          <w:szCs w:val="20"/>
        </w:rPr>
      </w:pPr>
      <w:r>
        <w:rPr>
          <w:sz w:val="20"/>
          <w:szCs w:val="20"/>
        </w:rPr>
        <w:t xml:space="preserve">This stage of the budget cycle (prioritization and determination of resources available for the upcoming year) begins with the release of the budget circular on 30 August of the current financial year. The process takes place over a six-month period between 30 August and 28 February. During this period, the health sector reviews the performance of the previous financial year and determines and costs strategic priorities for the upcoming financial year. </w:t>
      </w:r>
    </w:p>
    <w:p w14:paraId="6809C169" w14:textId="7CFE4729" w:rsidR="00086021" w:rsidRDefault="009E19AB" w:rsidP="008F6958">
      <w:pPr>
        <w:pStyle w:val="BodyText"/>
        <w:jc w:val="both"/>
        <w:rPr>
          <w:sz w:val="20"/>
          <w:szCs w:val="20"/>
        </w:rPr>
      </w:pPr>
      <w:r>
        <w:rPr>
          <w:sz w:val="20"/>
          <w:szCs w:val="20"/>
        </w:rPr>
        <w:t>Preparation of budget estimates begins after the provisional budget ceilings are established through the Budget Review and Outlook Paper. The MOH and DOH prepare a budget proposal for health investments, outlining the plan for using health resources and the actual funding needed to realize health sector commitments, regardless of the provisional ceilings set (Health Policy Project, 2016).</w:t>
      </w:r>
    </w:p>
    <w:p w14:paraId="41FCDEB7" w14:textId="1CF8DED6" w:rsidR="00BE546C" w:rsidRDefault="00BE546C" w:rsidP="008F6958">
      <w:pPr>
        <w:pStyle w:val="BodyText"/>
        <w:jc w:val="both"/>
        <w:rPr>
          <w:sz w:val="20"/>
          <w:szCs w:val="20"/>
        </w:rPr>
      </w:pPr>
    </w:p>
    <w:p w14:paraId="12896EBE" w14:textId="77777777" w:rsidR="00BE546C" w:rsidRDefault="00BE546C" w:rsidP="008F6958">
      <w:pPr>
        <w:pStyle w:val="BodyText"/>
        <w:jc w:val="both"/>
        <w:rPr>
          <w:sz w:val="20"/>
          <w:szCs w:val="20"/>
        </w:rPr>
      </w:pPr>
    </w:p>
    <w:p w14:paraId="594DC005" w14:textId="77777777" w:rsidR="00086021" w:rsidRDefault="009E19AB" w:rsidP="008F6958">
      <w:pPr>
        <w:pStyle w:val="BodyText"/>
        <w:ind w:left="720"/>
        <w:jc w:val="both"/>
        <w:rPr>
          <w:b/>
          <w:bCs/>
          <w:sz w:val="20"/>
          <w:szCs w:val="20"/>
        </w:rPr>
      </w:pPr>
      <w:r>
        <w:rPr>
          <w:b/>
          <w:bCs/>
          <w:sz w:val="20"/>
          <w:szCs w:val="20"/>
        </w:rPr>
        <w:lastRenderedPageBreak/>
        <w:t>ii.</w:t>
      </w:r>
      <w:r>
        <w:rPr>
          <w:b/>
          <w:bCs/>
          <w:sz w:val="20"/>
          <w:szCs w:val="20"/>
        </w:rPr>
        <w:tab/>
      </w:r>
      <w:bookmarkStart w:id="24" w:name="_Toc56997942"/>
      <w:r>
        <w:rPr>
          <w:b/>
          <w:bCs/>
          <w:sz w:val="20"/>
          <w:szCs w:val="20"/>
        </w:rPr>
        <w:t>Budget Approval</w:t>
      </w:r>
      <w:bookmarkEnd w:id="24"/>
    </w:p>
    <w:p w14:paraId="3ADA19B6" w14:textId="2D9784B5" w:rsidR="00086021" w:rsidRDefault="009E19AB" w:rsidP="008F6958">
      <w:pPr>
        <w:pStyle w:val="BodyText"/>
        <w:jc w:val="both"/>
        <w:rPr>
          <w:sz w:val="20"/>
          <w:szCs w:val="20"/>
        </w:rPr>
      </w:pPr>
      <w:r>
        <w:rPr>
          <w:sz w:val="20"/>
          <w:szCs w:val="20"/>
        </w:rPr>
        <w:t xml:space="preserve">During this stage, annual estimates of public revenues and expenditure made by governments acquire a status of legal action after discussion and voting in parliaments (the parliament and the 47 county assemblies). Budget approval involves parliament adopting the Budget Policy Statement and the County Assemblies adopting their respective CFSP as a basis for future deliberations; amending and approving the budget estimates after the national or county executive (specifically the Treasury) tables them before Parliament or the County </w:t>
      </w:r>
      <w:proofErr w:type="gramStart"/>
      <w:r>
        <w:rPr>
          <w:sz w:val="20"/>
          <w:szCs w:val="20"/>
        </w:rPr>
        <w:t>Assembly, and</w:t>
      </w:r>
      <w:proofErr w:type="gramEnd"/>
      <w:r>
        <w:rPr>
          <w:sz w:val="20"/>
          <w:szCs w:val="20"/>
        </w:rPr>
        <w:t xml:space="preserve"> enacting the Appropriation Bill and any other Bills required to implement the budgetary proposals. The budget approval stage runs from 30 April to 30 June.</w:t>
      </w:r>
    </w:p>
    <w:p w14:paraId="5C191DCD" w14:textId="77777777" w:rsidR="00086021" w:rsidRDefault="009E19AB" w:rsidP="008F6958">
      <w:pPr>
        <w:pStyle w:val="BodyText"/>
        <w:ind w:left="1080"/>
        <w:jc w:val="both"/>
      </w:pPr>
      <w:proofErr w:type="spellStart"/>
      <w:r>
        <w:rPr>
          <w:b/>
          <w:bCs/>
          <w:sz w:val="20"/>
          <w:szCs w:val="20"/>
        </w:rPr>
        <w:t>Iii</w:t>
      </w:r>
      <w:proofErr w:type="spellEnd"/>
      <w:r>
        <w:rPr>
          <w:b/>
          <w:bCs/>
          <w:sz w:val="20"/>
          <w:szCs w:val="20"/>
        </w:rPr>
        <w:t>.</w:t>
      </w:r>
      <w:r>
        <w:rPr>
          <w:b/>
          <w:bCs/>
          <w:sz w:val="20"/>
          <w:szCs w:val="20"/>
        </w:rPr>
        <w:tab/>
      </w:r>
      <w:bookmarkStart w:id="25" w:name="_Toc56997943"/>
      <w:r>
        <w:rPr>
          <w:b/>
          <w:bCs/>
          <w:sz w:val="20"/>
          <w:szCs w:val="20"/>
        </w:rPr>
        <w:t>Budget Execution</w:t>
      </w:r>
      <w:bookmarkEnd w:id="25"/>
    </w:p>
    <w:p w14:paraId="4A9934A3" w14:textId="77777777" w:rsidR="00086021" w:rsidRDefault="009E19AB" w:rsidP="008F6958">
      <w:pPr>
        <w:pStyle w:val="BodyText"/>
        <w:jc w:val="both"/>
        <w:rPr>
          <w:sz w:val="20"/>
          <w:szCs w:val="20"/>
        </w:rPr>
      </w:pPr>
      <w:r>
        <w:rPr>
          <w:sz w:val="20"/>
          <w:szCs w:val="20"/>
        </w:rPr>
        <w:t xml:space="preserve">At this stage, the Executive implements the budget proposals passed by Parliament or the County Assemblies at the approval stage. Parliamentary oversight also takes place at this stage. It involves; evaluating and accounting for the national and county governments’ budgeted revenues and expenditures; and reviewing and reporting on those estimated revenues and expenses every three months. </w:t>
      </w:r>
    </w:p>
    <w:p w14:paraId="72853205" w14:textId="77777777" w:rsidR="00086021" w:rsidRDefault="009E19AB" w:rsidP="008F6958">
      <w:pPr>
        <w:pStyle w:val="BodyText"/>
        <w:jc w:val="both"/>
        <w:rPr>
          <w:sz w:val="20"/>
          <w:szCs w:val="20"/>
        </w:rPr>
      </w:pPr>
      <w:r>
        <w:rPr>
          <w:sz w:val="20"/>
          <w:szCs w:val="20"/>
        </w:rPr>
        <w:t>The approval of the Appropriation Bill marks the beginning of the budget execution period, which runs from 1 July to 30 June of the following calendar year. The MOH and CDOHs can request additional funding during the supplementary budget planning (i.e., within the first two months of the FY and are due between October and November) (Health Policy Project, 2016).</w:t>
      </w:r>
    </w:p>
    <w:p w14:paraId="7ADCDDBA" w14:textId="5F0902DA" w:rsidR="00086021" w:rsidRDefault="009E19AB" w:rsidP="008F6958">
      <w:pPr>
        <w:pStyle w:val="BodyText"/>
        <w:jc w:val="both"/>
        <w:rPr>
          <w:sz w:val="20"/>
          <w:szCs w:val="20"/>
        </w:rPr>
      </w:pPr>
      <w:r>
        <w:rPr>
          <w:sz w:val="20"/>
          <w:szCs w:val="20"/>
        </w:rPr>
        <w:t>The MOH’s role in health budget execution is fundamental as it enables the actual implementation of National Health Policies Strategies and Plans (NHPSP) activities. The Ministry supervises, supports, and oversees budget execution because it is often the deciding factor for the extent of implementation. Inadequate technical and administrative support and oversight capacity generally result in a low health budget execution rate. Evidence shows that monetary space expansion for the health sector is mostly possible by merely increasing effectiveness in government health spending (Barasa et al., 2017).</w:t>
      </w:r>
    </w:p>
    <w:p w14:paraId="77BF573C" w14:textId="77777777" w:rsidR="008F6958" w:rsidRDefault="008F6958" w:rsidP="008F6958">
      <w:pPr>
        <w:pStyle w:val="BodyText"/>
        <w:jc w:val="both"/>
        <w:rPr>
          <w:sz w:val="20"/>
          <w:szCs w:val="20"/>
        </w:rPr>
      </w:pPr>
    </w:p>
    <w:p w14:paraId="063328C7" w14:textId="77777777" w:rsidR="00086021" w:rsidRPr="008F6958" w:rsidRDefault="009E19AB">
      <w:pPr>
        <w:pStyle w:val="Figure"/>
        <w:rPr>
          <w:b/>
          <w:bCs/>
          <w:sz w:val="18"/>
          <w:szCs w:val="18"/>
        </w:rPr>
      </w:pPr>
      <w:r w:rsidRPr="008F6958">
        <w:rPr>
          <w:b/>
          <w:bCs/>
          <w:sz w:val="18"/>
          <w:szCs w:val="18"/>
        </w:rPr>
        <w:t>Figure 16: Trends in MOH Budget Absorption between FY14/15 and FY 19/20</w:t>
      </w:r>
    </w:p>
    <w:p w14:paraId="73B005AC" w14:textId="77777777" w:rsidR="00086021" w:rsidRDefault="009E19AB">
      <w:pPr>
        <w:pStyle w:val="Figure"/>
      </w:pPr>
      <w:r>
        <w:rPr>
          <w:noProof/>
        </w:rPr>
        <w:drawing>
          <wp:inline distT="0" distB="0" distL="0" distR="0" wp14:anchorId="1EDB3FCD" wp14:editId="3D2273B9">
            <wp:extent cx="5773420" cy="2341880"/>
            <wp:effectExtent l="0" t="0" r="17780" b="1270"/>
            <wp:docPr id="29" name="Object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2D69E35" w14:textId="77777777" w:rsidR="00086021" w:rsidRDefault="009E19AB">
      <w:pPr>
        <w:pStyle w:val="BodyText"/>
        <w:rPr>
          <w:i/>
          <w:iCs/>
          <w:sz w:val="16"/>
          <w:szCs w:val="16"/>
        </w:rPr>
      </w:pPr>
      <w:r>
        <w:rPr>
          <w:i/>
          <w:iCs/>
          <w:sz w:val="16"/>
          <w:szCs w:val="16"/>
        </w:rPr>
        <w:t>Source: MOH MTEF Sector Working Group Reports, 2018 and 2019; National Treasury Budget Review and Outlook Paper, 2020.</w:t>
      </w:r>
    </w:p>
    <w:p w14:paraId="3E802182" w14:textId="77777777" w:rsidR="00086021" w:rsidRDefault="009E19AB">
      <w:pPr>
        <w:pStyle w:val="BodyText"/>
        <w:rPr>
          <w:b/>
          <w:bCs/>
          <w:sz w:val="20"/>
          <w:szCs w:val="20"/>
        </w:rPr>
      </w:pPr>
      <w:r>
        <w:rPr>
          <w:b/>
          <w:bCs/>
          <w:noProof/>
          <w:sz w:val="20"/>
          <w:szCs w:val="20"/>
        </w:rPr>
        <mc:AlternateContent>
          <mc:Choice Requires="wps">
            <w:drawing>
              <wp:anchor distT="0" distB="0" distL="0" distR="0" simplePos="0" relativeHeight="35" behindDoc="0" locked="0" layoutInCell="1" allowOverlap="1" wp14:anchorId="07691075" wp14:editId="64A91259">
                <wp:simplePos x="0" y="0"/>
                <wp:positionH relativeFrom="column">
                  <wp:posOffset>-24130</wp:posOffset>
                </wp:positionH>
                <wp:positionV relativeFrom="paragraph">
                  <wp:posOffset>58420</wp:posOffset>
                </wp:positionV>
                <wp:extent cx="5748655" cy="1430655"/>
                <wp:effectExtent l="0" t="0" r="0" b="0"/>
                <wp:wrapNone/>
                <wp:docPr id="30" name="Shape2_12"/>
                <wp:cNvGraphicFramePr/>
                <a:graphic xmlns:a="http://schemas.openxmlformats.org/drawingml/2006/main">
                  <a:graphicData uri="http://schemas.microsoft.com/office/word/2010/wordprocessingShape">
                    <wps:wsp>
                      <wps:cNvSpPr/>
                      <wps:spPr>
                        <a:xfrm>
                          <a:off x="0" y="0"/>
                          <a:ext cx="5748120" cy="1429920"/>
                        </a:xfrm>
                        <a:prstGeom prst="rect">
                          <a:avLst/>
                        </a:prstGeom>
                        <a:solidFill>
                          <a:srgbClr val="C9211E">
                            <a:alpha val="15000"/>
                          </a:srgbClr>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c="http://schemas.openxmlformats.org/drawingml/2006/chart" xmlns:a1611="http://schemas.microsoft.com/office/drawing/2016/11/main" xmlns:a14="http://schemas.microsoft.com/office/drawing/2010/main" xmlns:pic="http://schemas.openxmlformats.org/drawingml/2006/picture" xmlns:a16="http://schemas.microsoft.com/office/drawing/2014/main" xmlns:a="http://schemas.openxmlformats.org/drawingml/2006/main">
            <w:pict w14:anchorId="62FA5224">
              <v:rect id="Shape2_12" style="position:absolute;margin-left:-1.9pt;margin-top:4.6pt;width:452.65pt;height:112.65pt;z-index:35;visibility:visible;mso-wrap-style:square;mso-wrap-distance-left:0;mso-wrap-distance-top:0;mso-wrap-distance-right:0;mso-wrap-distance-bottom:0;mso-position-horizontal:absolute;mso-position-horizontal-relative:text;mso-position-vertical:absolute;mso-position-vertical-relative:text;v-text-anchor:top" o:spid="_x0000_s1026" fillcolor="#c9211e" stroked="f" w14:anchorId="0643A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">
                <v:fill opacity="9766f"/>
              </v:rect>
            </w:pict>
          </mc:Fallback>
        </mc:AlternateContent>
      </w:r>
    </w:p>
    <w:p w14:paraId="5492524A" w14:textId="77777777" w:rsidR="00086021" w:rsidRDefault="009E19AB">
      <w:pPr>
        <w:pStyle w:val="BodyText"/>
        <w:ind w:left="540"/>
        <w:rPr>
          <w:b/>
          <w:bCs/>
          <w:sz w:val="20"/>
          <w:szCs w:val="20"/>
        </w:rPr>
      </w:pPr>
      <w:r>
        <w:rPr>
          <w:b/>
          <w:bCs/>
          <w:sz w:val="20"/>
          <w:szCs w:val="20"/>
        </w:rPr>
        <w:t>Advocacy Opportunity for Efficiency in Resource Utilization.</w:t>
      </w:r>
    </w:p>
    <w:p w14:paraId="5362B942" w14:textId="77777777" w:rsidR="00BE546C" w:rsidRDefault="009E19AB" w:rsidP="00BE546C">
      <w:pPr>
        <w:pStyle w:val="BodyText"/>
        <w:ind w:left="540" w:right="360"/>
        <w:rPr>
          <w:sz w:val="20"/>
          <w:szCs w:val="20"/>
        </w:rPr>
      </w:pPr>
      <w:r>
        <w:rPr>
          <w:sz w:val="20"/>
          <w:szCs w:val="20"/>
        </w:rPr>
        <w:t xml:space="preserve">There has been a steady rise in the absorption of MOH budgets post devolution peaking at an average of 91.6% in FY2019/20 as depicted in Figure 16. Whilst the high absorption rates ensure availability of resources for health, they must be coupled to efficiency and </w:t>
      </w:r>
      <w:r>
        <w:rPr>
          <w:sz w:val="20"/>
          <w:szCs w:val="20"/>
        </w:rPr>
        <w:lastRenderedPageBreak/>
        <w:t>accountability systems to ensure more health for available resources (maximize value for money).</w:t>
      </w:r>
    </w:p>
    <w:p w14:paraId="1DCFC6E5" w14:textId="4AFFD387" w:rsidR="00086021" w:rsidRDefault="009E19AB" w:rsidP="00BE546C">
      <w:pPr>
        <w:pStyle w:val="BodyText"/>
        <w:ind w:left="540" w:right="360"/>
        <w:rPr>
          <w:b/>
          <w:bCs/>
        </w:rPr>
      </w:pPr>
      <w:r>
        <w:rPr>
          <w:b/>
          <w:bCs/>
        </w:rPr>
        <w:t>iv.</w:t>
      </w:r>
      <w:r>
        <w:rPr>
          <w:b/>
          <w:bCs/>
        </w:rPr>
        <w:tab/>
      </w:r>
      <w:bookmarkStart w:id="26" w:name="_Toc56997944"/>
      <w:r>
        <w:rPr>
          <w:b/>
          <w:bCs/>
        </w:rPr>
        <w:t>Budget Evaluation/ Audit</w:t>
      </w:r>
      <w:bookmarkEnd w:id="26"/>
    </w:p>
    <w:p w14:paraId="470E0E8A" w14:textId="77777777" w:rsidR="00086021" w:rsidRPr="008F6958" w:rsidRDefault="009E19AB" w:rsidP="008F6958">
      <w:pPr>
        <w:pStyle w:val="BodyText"/>
        <w:jc w:val="both"/>
        <w:rPr>
          <w:sz w:val="20"/>
          <w:szCs w:val="20"/>
        </w:rPr>
      </w:pPr>
      <w:r w:rsidRPr="008F6958">
        <w:rPr>
          <w:sz w:val="20"/>
          <w:szCs w:val="20"/>
        </w:rPr>
        <w:t>During the budget execution period, the MOH and CDOH will monitor the spending of respective appropriated funds with the aim of promoting efficiency, preventing wastage and fraud, and ensuring high-performance in-service delivery. State departments and counties are required to comply with the legal requirements for accounting and reporting on the appropriated funds in the implementation period (PFM Act, 2012; Health Policy Project, 2016). This is usually the last stage of the budget process, where the Office of the Auditor-General (OAG) audits and reports on the accounts of both the national and the county governments within six months of the end of the FY. The Budget Review and Outlook Paper (BROP and CBROP) are the basis for the evaluation (All the Key Stages in the Budget Process in Kenya, n.d.)</w:t>
      </w:r>
    </w:p>
    <w:p w14:paraId="0150ABB0" w14:textId="77777777" w:rsidR="00086021" w:rsidRDefault="009E19AB">
      <w:pPr>
        <w:pStyle w:val="BodyText"/>
      </w:pPr>
      <w:r>
        <w:rPr>
          <w:noProof/>
        </w:rPr>
        <mc:AlternateContent>
          <mc:Choice Requires="wps">
            <w:drawing>
              <wp:anchor distT="0" distB="0" distL="0" distR="0" simplePos="0" relativeHeight="36" behindDoc="0" locked="0" layoutInCell="1" allowOverlap="1" wp14:anchorId="4531C2DD" wp14:editId="210D6CA8">
                <wp:simplePos x="0" y="0"/>
                <wp:positionH relativeFrom="column">
                  <wp:posOffset>33655</wp:posOffset>
                </wp:positionH>
                <wp:positionV relativeFrom="paragraph">
                  <wp:posOffset>100330</wp:posOffset>
                </wp:positionV>
                <wp:extent cx="5748655" cy="1540510"/>
                <wp:effectExtent l="0" t="0" r="0" b="0"/>
                <wp:wrapNone/>
                <wp:docPr id="31" name="Shape2_13"/>
                <wp:cNvGraphicFramePr/>
                <a:graphic xmlns:a="http://schemas.openxmlformats.org/drawingml/2006/main">
                  <a:graphicData uri="http://schemas.microsoft.com/office/word/2010/wordprocessingShape">
                    <wps:wsp>
                      <wps:cNvSpPr/>
                      <wps:spPr>
                        <a:xfrm>
                          <a:off x="0" y="0"/>
                          <a:ext cx="5748120" cy="1539720"/>
                        </a:xfrm>
                        <a:prstGeom prst="rect">
                          <a:avLst/>
                        </a:prstGeom>
                        <a:solidFill>
                          <a:srgbClr val="C9211E">
                            <a:alpha val="15000"/>
                          </a:srgbClr>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c="http://schemas.openxmlformats.org/drawingml/2006/chart" xmlns:a1611="http://schemas.microsoft.com/office/drawing/2016/11/main" xmlns:a14="http://schemas.microsoft.com/office/drawing/2010/main" xmlns:pic="http://schemas.openxmlformats.org/drawingml/2006/picture" xmlns:a16="http://schemas.microsoft.com/office/drawing/2014/main" xmlns:a="http://schemas.openxmlformats.org/drawingml/2006/main">
            <w:pict w14:anchorId="19A48CD5">
              <v:rect id="Shape2_13" style="position:absolute;margin-left:2.65pt;margin-top:7.9pt;width:452.65pt;height:121.3pt;z-index:36;visibility:visible;mso-wrap-style:square;mso-wrap-distance-left:0;mso-wrap-distance-top:0;mso-wrap-distance-right:0;mso-wrap-distance-bottom:0;mso-position-horizontal:absolute;mso-position-horizontal-relative:text;mso-position-vertical:absolute;mso-position-vertical-relative:text;v-text-anchor:top" o:spid="_x0000_s1026" fillcolor="#c9211e" stroked="f" w14:anchorId="2BF02E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">
                <v:fill opacity="9766f"/>
              </v:rect>
            </w:pict>
          </mc:Fallback>
        </mc:AlternateContent>
      </w:r>
    </w:p>
    <w:p w14:paraId="0ED73377" w14:textId="77777777" w:rsidR="00086021" w:rsidRDefault="009E19AB">
      <w:pPr>
        <w:pStyle w:val="BodyText"/>
        <w:ind w:left="540" w:right="360"/>
        <w:rPr>
          <w:b/>
          <w:bCs/>
          <w:sz w:val="20"/>
          <w:szCs w:val="20"/>
        </w:rPr>
      </w:pPr>
      <w:r>
        <w:rPr>
          <w:b/>
          <w:bCs/>
          <w:sz w:val="20"/>
          <w:szCs w:val="20"/>
        </w:rPr>
        <w:t>Advocacy Opportunity for Accountability</w:t>
      </w:r>
    </w:p>
    <w:p w14:paraId="70DE1C5E" w14:textId="77777777" w:rsidR="00086021" w:rsidRDefault="009E19AB">
      <w:pPr>
        <w:pStyle w:val="BodyText"/>
        <w:ind w:left="540" w:right="360"/>
        <w:rPr>
          <w:sz w:val="20"/>
          <w:szCs w:val="20"/>
        </w:rPr>
      </w:pPr>
      <w:r>
        <w:rPr>
          <w:sz w:val="20"/>
          <w:szCs w:val="20"/>
        </w:rPr>
        <w:t>Only 22% of all the financial statements for government expenditures between FY 2012/13 and FY 2016/17 were fully compliant to the financial management standards (Unqualified audit opinion).</w:t>
      </w:r>
    </w:p>
    <w:p w14:paraId="13F33A13" w14:textId="77777777" w:rsidR="00086021" w:rsidRDefault="009E19AB">
      <w:pPr>
        <w:pStyle w:val="BodyText"/>
        <w:ind w:left="540" w:right="360"/>
        <w:rPr>
          <w:sz w:val="20"/>
          <w:szCs w:val="20"/>
        </w:rPr>
      </w:pPr>
      <w:r>
        <w:rPr>
          <w:sz w:val="20"/>
          <w:szCs w:val="20"/>
        </w:rPr>
        <w:t xml:space="preserve">This provides an advocacy opportunity for strengthened PFM and accountability systems within government. </w:t>
      </w:r>
    </w:p>
    <w:p w14:paraId="7507A6C4" w14:textId="77777777" w:rsidR="00086021" w:rsidRDefault="00086021">
      <w:pPr>
        <w:pStyle w:val="BodyText"/>
      </w:pPr>
    </w:p>
    <w:p w14:paraId="3CA4C5D1" w14:textId="77777777" w:rsidR="008F6958" w:rsidRDefault="008F6958">
      <w:pPr>
        <w:pStyle w:val="Table"/>
        <w:rPr>
          <w:b/>
          <w:bCs/>
          <w:sz w:val="20"/>
          <w:szCs w:val="20"/>
        </w:rPr>
      </w:pPr>
    </w:p>
    <w:p w14:paraId="4195B26D" w14:textId="1845BF77" w:rsidR="00086021" w:rsidRDefault="009E19AB">
      <w:pPr>
        <w:pStyle w:val="Table"/>
        <w:rPr>
          <w:b/>
          <w:bCs/>
          <w:sz w:val="20"/>
          <w:szCs w:val="20"/>
        </w:rPr>
      </w:pPr>
      <w:r w:rsidRPr="008F6958">
        <w:rPr>
          <w:b/>
          <w:bCs/>
          <w:sz w:val="20"/>
          <w:szCs w:val="20"/>
        </w:rPr>
        <w:t>Table 1: Analysis of Audit Opinions on Government Expenditures between FY 2012/13 and FY 2016/17</w:t>
      </w:r>
    </w:p>
    <w:p w14:paraId="46CEF838" w14:textId="77777777" w:rsidR="008F6958" w:rsidRPr="008F6958" w:rsidRDefault="008F6958">
      <w:pPr>
        <w:pStyle w:val="Table"/>
        <w:rPr>
          <w:b/>
          <w:bCs/>
          <w:sz w:val="20"/>
          <w:szCs w:val="20"/>
        </w:rPr>
      </w:pPr>
    </w:p>
    <w:tbl>
      <w:tblPr>
        <w:tblW w:w="9095" w:type="dxa"/>
        <w:tblInd w:w="108" w:type="dxa"/>
        <w:tblLook w:val="04A0" w:firstRow="1" w:lastRow="0" w:firstColumn="1" w:lastColumn="0" w:noHBand="0" w:noVBand="1"/>
      </w:tblPr>
      <w:tblGrid>
        <w:gridCol w:w="2031"/>
        <w:gridCol w:w="3092"/>
        <w:gridCol w:w="3972"/>
      </w:tblGrid>
      <w:tr w:rsidR="00086021" w14:paraId="47FCB6BB" w14:textId="77777777">
        <w:trPr>
          <w:trHeight w:val="491"/>
        </w:trPr>
        <w:tc>
          <w:tcPr>
            <w:tcW w:w="2031" w:type="dxa"/>
            <w:vMerge w:val="restart"/>
            <w:tcBorders>
              <w:top w:val="single" w:sz="4" w:space="0" w:color="000000"/>
              <w:left w:val="single" w:sz="4" w:space="0" w:color="000000"/>
              <w:bottom w:val="single" w:sz="4" w:space="0" w:color="000000"/>
              <w:right w:val="single" w:sz="4" w:space="0" w:color="000000"/>
            </w:tcBorders>
            <w:vAlign w:val="center"/>
          </w:tcPr>
          <w:p w14:paraId="26EAD7F1" w14:textId="77777777" w:rsidR="00086021" w:rsidRDefault="009E19AB">
            <w:pPr>
              <w:jc w:val="center"/>
              <w:rPr>
                <w:rFonts w:eastAsia="Times New Roman" w:cs="Calibri"/>
                <w:b/>
                <w:bCs/>
                <w:sz w:val="20"/>
                <w:szCs w:val="20"/>
              </w:rPr>
            </w:pPr>
            <w:r>
              <w:rPr>
                <w:rFonts w:eastAsia="Times New Roman" w:cs="Calibri"/>
                <w:b/>
                <w:bCs/>
                <w:sz w:val="20"/>
                <w:szCs w:val="20"/>
              </w:rPr>
              <w:t>Audit Opinion</w:t>
            </w:r>
          </w:p>
        </w:tc>
        <w:tc>
          <w:tcPr>
            <w:tcW w:w="3092" w:type="dxa"/>
            <w:vMerge w:val="restart"/>
            <w:tcBorders>
              <w:top w:val="single" w:sz="4" w:space="0" w:color="000000"/>
              <w:left w:val="single" w:sz="4" w:space="0" w:color="000000"/>
              <w:bottom w:val="single" w:sz="4" w:space="0" w:color="000000"/>
              <w:right w:val="single" w:sz="4" w:space="0" w:color="000000"/>
            </w:tcBorders>
            <w:vAlign w:val="center"/>
          </w:tcPr>
          <w:p w14:paraId="1A6AF1F3" w14:textId="77777777" w:rsidR="00086021" w:rsidRDefault="009E19AB">
            <w:pPr>
              <w:jc w:val="center"/>
              <w:rPr>
                <w:rFonts w:eastAsia="Times New Roman" w:cs="Calibri"/>
                <w:b/>
                <w:bCs/>
                <w:sz w:val="20"/>
                <w:szCs w:val="20"/>
              </w:rPr>
            </w:pPr>
            <w:r>
              <w:rPr>
                <w:rFonts w:eastAsia="Times New Roman" w:cs="Calibri"/>
                <w:b/>
                <w:bCs/>
                <w:sz w:val="20"/>
                <w:szCs w:val="20"/>
              </w:rPr>
              <w:t>Total FS</w:t>
            </w:r>
          </w:p>
        </w:tc>
        <w:tc>
          <w:tcPr>
            <w:tcW w:w="3972" w:type="dxa"/>
            <w:vMerge w:val="restart"/>
            <w:tcBorders>
              <w:top w:val="single" w:sz="4" w:space="0" w:color="000000"/>
              <w:left w:val="single" w:sz="4" w:space="0" w:color="000000"/>
              <w:bottom w:val="single" w:sz="4" w:space="0" w:color="000000"/>
              <w:right w:val="single" w:sz="4" w:space="0" w:color="000000"/>
            </w:tcBorders>
            <w:vAlign w:val="center"/>
          </w:tcPr>
          <w:p w14:paraId="13D0B000" w14:textId="77777777" w:rsidR="00086021" w:rsidRDefault="009E19AB">
            <w:pPr>
              <w:jc w:val="center"/>
              <w:rPr>
                <w:rFonts w:eastAsia="Times New Roman" w:cs="Calibri"/>
                <w:b/>
                <w:bCs/>
                <w:sz w:val="20"/>
                <w:szCs w:val="20"/>
              </w:rPr>
            </w:pPr>
            <w:r>
              <w:rPr>
                <w:rFonts w:eastAsia="Times New Roman" w:cs="Calibri"/>
                <w:b/>
                <w:bCs/>
                <w:sz w:val="20"/>
                <w:szCs w:val="20"/>
              </w:rPr>
              <w:t>Average %</w:t>
            </w:r>
          </w:p>
        </w:tc>
      </w:tr>
      <w:tr w:rsidR="00086021" w14:paraId="4F141135" w14:textId="77777777" w:rsidTr="000D7D36">
        <w:trPr>
          <w:trHeight w:val="280"/>
        </w:trPr>
        <w:tc>
          <w:tcPr>
            <w:tcW w:w="2031" w:type="dxa"/>
            <w:vMerge/>
            <w:tcBorders>
              <w:top w:val="single" w:sz="4" w:space="0" w:color="000000"/>
              <w:left w:val="single" w:sz="4" w:space="0" w:color="000000"/>
              <w:bottom w:val="single" w:sz="4" w:space="0" w:color="auto"/>
              <w:right w:val="single" w:sz="4" w:space="0" w:color="000000"/>
            </w:tcBorders>
            <w:vAlign w:val="center"/>
          </w:tcPr>
          <w:p w14:paraId="44FB0FC1" w14:textId="77777777" w:rsidR="00086021" w:rsidRDefault="00086021"/>
        </w:tc>
        <w:tc>
          <w:tcPr>
            <w:tcW w:w="3092" w:type="dxa"/>
            <w:vMerge/>
            <w:tcBorders>
              <w:top w:val="single" w:sz="4" w:space="0" w:color="000000"/>
              <w:left w:val="single" w:sz="4" w:space="0" w:color="000000"/>
              <w:bottom w:val="single" w:sz="4" w:space="0" w:color="auto"/>
              <w:right w:val="single" w:sz="4" w:space="0" w:color="000000"/>
            </w:tcBorders>
            <w:vAlign w:val="center"/>
          </w:tcPr>
          <w:p w14:paraId="6E984790" w14:textId="77777777" w:rsidR="00086021" w:rsidRDefault="00086021"/>
        </w:tc>
        <w:tc>
          <w:tcPr>
            <w:tcW w:w="3972" w:type="dxa"/>
            <w:vMerge/>
            <w:tcBorders>
              <w:top w:val="single" w:sz="4" w:space="0" w:color="000000"/>
              <w:left w:val="single" w:sz="4" w:space="0" w:color="000000"/>
              <w:bottom w:val="single" w:sz="4" w:space="0" w:color="auto"/>
              <w:right w:val="single" w:sz="4" w:space="0" w:color="000000"/>
            </w:tcBorders>
            <w:vAlign w:val="center"/>
          </w:tcPr>
          <w:p w14:paraId="62FE4118" w14:textId="77777777" w:rsidR="00086021" w:rsidRDefault="00086021"/>
        </w:tc>
      </w:tr>
      <w:tr w:rsidR="00086021" w14:paraId="752A0D8F" w14:textId="77777777" w:rsidTr="000D7D36">
        <w:trPr>
          <w:trHeight w:val="280"/>
        </w:trPr>
        <w:tc>
          <w:tcPr>
            <w:tcW w:w="2031" w:type="dxa"/>
            <w:tcBorders>
              <w:top w:val="single" w:sz="4" w:space="0" w:color="auto"/>
              <w:left w:val="single" w:sz="4" w:space="0" w:color="auto"/>
              <w:bottom w:val="single" w:sz="4" w:space="0" w:color="auto"/>
              <w:right w:val="single" w:sz="4" w:space="0" w:color="auto"/>
            </w:tcBorders>
            <w:shd w:val="clear" w:color="auto" w:fill="C6E0B4"/>
            <w:tcMar>
              <w:top w:w="115" w:type="dxa"/>
              <w:left w:w="115" w:type="dxa"/>
              <w:right w:w="115" w:type="dxa"/>
            </w:tcMar>
            <w:vAlign w:val="bottom"/>
          </w:tcPr>
          <w:p w14:paraId="4FE4EFC6" w14:textId="77777777" w:rsidR="00086021" w:rsidRDefault="009E19AB">
            <w:pPr>
              <w:pStyle w:val="BodyText"/>
            </w:pPr>
            <w:r>
              <w:t>Unqualified</w:t>
            </w:r>
          </w:p>
        </w:tc>
        <w:tc>
          <w:tcPr>
            <w:tcW w:w="3092" w:type="dxa"/>
            <w:tcBorders>
              <w:top w:val="single" w:sz="4" w:space="0" w:color="auto"/>
              <w:left w:val="single" w:sz="4" w:space="0" w:color="auto"/>
              <w:bottom w:val="single" w:sz="4" w:space="0" w:color="auto"/>
              <w:right w:val="single" w:sz="4" w:space="0" w:color="auto"/>
            </w:tcBorders>
            <w:shd w:val="clear" w:color="auto" w:fill="C6E0B4"/>
            <w:tcMar>
              <w:top w:w="115" w:type="dxa"/>
              <w:left w:w="115" w:type="dxa"/>
              <w:right w:w="115" w:type="dxa"/>
            </w:tcMar>
            <w:vAlign w:val="bottom"/>
          </w:tcPr>
          <w:p w14:paraId="1CCF70C0" w14:textId="77777777" w:rsidR="00086021" w:rsidRDefault="009E19AB" w:rsidP="00B81FD0">
            <w:pPr>
              <w:pStyle w:val="BodyText"/>
              <w:jc w:val="center"/>
            </w:pPr>
            <w:r>
              <w:t>170</w:t>
            </w:r>
          </w:p>
        </w:tc>
        <w:tc>
          <w:tcPr>
            <w:tcW w:w="3972" w:type="dxa"/>
            <w:tcBorders>
              <w:top w:val="single" w:sz="4" w:space="0" w:color="auto"/>
              <w:left w:val="single" w:sz="4" w:space="0" w:color="auto"/>
              <w:bottom w:val="single" w:sz="4" w:space="0" w:color="auto"/>
              <w:right w:val="single" w:sz="4" w:space="0" w:color="auto"/>
            </w:tcBorders>
            <w:shd w:val="clear" w:color="auto" w:fill="C6E0B4"/>
            <w:tcMar>
              <w:top w:w="115" w:type="dxa"/>
              <w:left w:w="115" w:type="dxa"/>
              <w:right w:w="115" w:type="dxa"/>
            </w:tcMar>
            <w:vAlign w:val="bottom"/>
          </w:tcPr>
          <w:p w14:paraId="5D2525DA" w14:textId="77777777" w:rsidR="00086021" w:rsidRDefault="009E19AB" w:rsidP="00B81FD0">
            <w:pPr>
              <w:pStyle w:val="BodyText"/>
              <w:jc w:val="center"/>
            </w:pPr>
            <w:r>
              <w:t>22</w:t>
            </w:r>
          </w:p>
        </w:tc>
      </w:tr>
      <w:tr w:rsidR="00086021" w14:paraId="687BF4E8" w14:textId="77777777" w:rsidTr="000D7D36">
        <w:trPr>
          <w:trHeight w:val="280"/>
        </w:trPr>
        <w:tc>
          <w:tcPr>
            <w:tcW w:w="2031" w:type="dxa"/>
            <w:tcBorders>
              <w:top w:val="single" w:sz="4" w:space="0" w:color="auto"/>
              <w:left w:val="single" w:sz="4" w:space="0" w:color="auto"/>
              <w:bottom w:val="single" w:sz="4" w:space="0" w:color="auto"/>
              <w:right w:val="single" w:sz="4" w:space="0" w:color="auto"/>
            </w:tcBorders>
            <w:shd w:val="clear" w:color="auto" w:fill="FFE699"/>
            <w:tcMar>
              <w:top w:w="115" w:type="dxa"/>
              <w:left w:w="115" w:type="dxa"/>
              <w:right w:w="115" w:type="dxa"/>
            </w:tcMar>
            <w:vAlign w:val="bottom"/>
          </w:tcPr>
          <w:p w14:paraId="69572055" w14:textId="77777777" w:rsidR="00086021" w:rsidRDefault="009E19AB">
            <w:pPr>
              <w:pStyle w:val="BodyText"/>
            </w:pPr>
            <w:r>
              <w:t>Qualified</w:t>
            </w:r>
          </w:p>
        </w:tc>
        <w:tc>
          <w:tcPr>
            <w:tcW w:w="3092" w:type="dxa"/>
            <w:tcBorders>
              <w:top w:val="single" w:sz="4" w:space="0" w:color="auto"/>
              <w:left w:val="single" w:sz="4" w:space="0" w:color="auto"/>
              <w:bottom w:val="single" w:sz="4" w:space="0" w:color="auto"/>
              <w:right w:val="single" w:sz="4" w:space="0" w:color="auto"/>
            </w:tcBorders>
            <w:shd w:val="clear" w:color="auto" w:fill="FFE699"/>
            <w:tcMar>
              <w:top w:w="115" w:type="dxa"/>
              <w:left w:w="115" w:type="dxa"/>
              <w:right w:w="115" w:type="dxa"/>
            </w:tcMar>
            <w:vAlign w:val="bottom"/>
          </w:tcPr>
          <w:p w14:paraId="4E80409C" w14:textId="77777777" w:rsidR="00086021" w:rsidRDefault="009E19AB" w:rsidP="00B81FD0">
            <w:pPr>
              <w:pStyle w:val="BodyText"/>
              <w:jc w:val="center"/>
            </w:pPr>
            <w:r>
              <w:t>383</w:t>
            </w:r>
          </w:p>
        </w:tc>
        <w:tc>
          <w:tcPr>
            <w:tcW w:w="3972" w:type="dxa"/>
            <w:tcBorders>
              <w:top w:val="single" w:sz="4" w:space="0" w:color="auto"/>
              <w:left w:val="single" w:sz="4" w:space="0" w:color="auto"/>
              <w:bottom w:val="single" w:sz="4" w:space="0" w:color="auto"/>
              <w:right w:val="single" w:sz="4" w:space="0" w:color="auto"/>
            </w:tcBorders>
            <w:shd w:val="clear" w:color="auto" w:fill="FFE699"/>
            <w:tcMar>
              <w:top w:w="115" w:type="dxa"/>
              <w:left w:w="115" w:type="dxa"/>
              <w:right w:w="115" w:type="dxa"/>
            </w:tcMar>
            <w:vAlign w:val="bottom"/>
          </w:tcPr>
          <w:p w14:paraId="293B7172" w14:textId="77777777" w:rsidR="00086021" w:rsidRDefault="009E19AB" w:rsidP="00B81FD0">
            <w:pPr>
              <w:pStyle w:val="BodyText"/>
              <w:jc w:val="center"/>
            </w:pPr>
            <w:r>
              <w:t>48</w:t>
            </w:r>
          </w:p>
        </w:tc>
      </w:tr>
      <w:tr w:rsidR="00086021" w14:paraId="071BD47A" w14:textId="77777777" w:rsidTr="000D7D36">
        <w:trPr>
          <w:trHeight w:val="280"/>
        </w:trPr>
        <w:tc>
          <w:tcPr>
            <w:tcW w:w="2031" w:type="dxa"/>
            <w:tcBorders>
              <w:top w:val="single" w:sz="4" w:space="0" w:color="auto"/>
              <w:left w:val="single" w:sz="4" w:space="0" w:color="auto"/>
              <w:bottom w:val="single" w:sz="4" w:space="0" w:color="auto"/>
              <w:right w:val="single" w:sz="4" w:space="0" w:color="auto"/>
            </w:tcBorders>
            <w:shd w:val="clear" w:color="auto" w:fill="FF5050"/>
            <w:tcMar>
              <w:top w:w="115" w:type="dxa"/>
              <w:left w:w="115" w:type="dxa"/>
              <w:right w:w="115" w:type="dxa"/>
            </w:tcMar>
            <w:vAlign w:val="bottom"/>
          </w:tcPr>
          <w:p w14:paraId="766F67F5" w14:textId="77777777" w:rsidR="00086021" w:rsidRDefault="009E19AB">
            <w:pPr>
              <w:pStyle w:val="BodyText"/>
            </w:pPr>
            <w:r>
              <w:t>Adverse</w:t>
            </w:r>
          </w:p>
        </w:tc>
        <w:tc>
          <w:tcPr>
            <w:tcW w:w="3092" w:type="dxa"/>
            <w:tcBorders>
              <w:top w:val="single" w:sz="4" w:space="0" w:color="auto"/>
              <w:left w:val="single" w:sz="4" w:space="0" w:color="auto"/>
              <w:bottom w:val="single" w:sz="4" w:space="0" w:color="auto"/>
              <w:right w:val="single" w:sz="4" w:space="0" w:color="auto"/>
            </w:tcBorders>
            <w:shd w:val="clear" w:color="auto" w:fill="FF5050"/>
            <w:tcMar>
              <w:top w:w="115" w:type="dxa"/>
              <w:left w:w="115" w:type="dxa"/>
              <w:right w:w="115" w:type="dxa"/>
            </w:tcMar>
            <w:vAlign w:val="bottom"/>
          </w:tcPr>
          <w:p w14:paraId="2AF40FA0" w14:textId="77777777" w:rsidR="00086021" w:rsidRDefault="009E19AB" w:rsidP="00B81FD0">
            <w:pPr>
              <w:pStyle w:val="BodyText"/>
              <w:jc w:val="center"/>
            </w:pPr>
            <w:r>
              <w:t>106</w:t>
            </w:r>
          </w:p>
        </w:tc>
        <w:tc>
          <w:tcPr>
            <w:tcW w:w="3972" w:type="dxa"/>
            <w:tcBorders>
              <w:top w:val="single" w:sz="4" w:space="0" w:color="auto"/>
              <w:left w:val="single" w:sz="4" w:space="0" w:color="auto"/>
              <w:bottom w:val="single" w:sz="4" w:space="0" w:color="auto"/>
              <w:right w:val="single" w:sz="4" w:space="0" w:color="auto"/>
            </w:tcBorders>
            <w:shd w:val="clear" w:color="auto" w:fill="FF5050"/>
            <w:tcMar>
              <w:top w:w="115" w:type="dxa"/>
              <w:left w:w="115" w:type="dxa"/>
              <w:right w:w="115" w:type="dxa"/>
            </w:tcMar>
            <w:vAlign w:val="bottom"/>
          </w:tcPr>
          <w:p w14:paraId="70083D12" w14:textId="77777777" w:rsidR="00086021" w:rsidRDefault="009E19AB" w:rsidP="00B81FD0">
            <w:pPr>
              <w:pStyle w:val="BodyText"/>
              <w:jc w:val="center"/>
            </w:pPr>
            <w:r>
              <w:t>13</w:t>
            </w:r>
          </w:p>
        </w:tc>
      </w:tr>
      <w:tr w:rsidR="00086021" w14:paraId="4DE32C6D" w14:textId="77777777" w:rsidTr="00317575">
        <w:trPr>
          <w:trHeight w:val="280"/>
        </w:trPr>
        <w:tc>
          <w:tcPr>
            <w:tcW w:w="2031" w:type="dxa"/>
            <w:tcBorders>
              <w:top w:val="single" w:sz="4" w:space="0" w:color="auto"/>
              <w:left w:val="single" w:sz="4" w:space="0" w:color="auto"/>
              <w:bottom w:val="single" w:sz="4" w:space="0" w:color="auto"/>
              <w:right w:val="single" w:sz="4" w:space="0" w:color="auto"/>
            </w:tcBorders>
            <w:shd w:val="clear" w:color="auto" w:fill="AEAAAA"/>
            <w:tcMar>
              <w:top w:w="115" w:type="dxa"/>
              <w:left w:w="115" w:type="dxa"/>
              <w:right w:w="115" w:type="dxa"/>
            </w:tcMar>
            <w:vAlign w:val="bottom"/>
          </w:tcPr>
          <w:p w14:paraId="51B30664" w14:textId="77777777" w:rsidR="00086021" w:rsidRDefault="009E19AB">
            <w:pPr>
              <w:pStyle w:val="BodyText"/>
            </w:pPr>
            <w:r>
              <w:t>Disclaimer</w:t>
            </w:r>
          </w:p>
        </w:tc>
        <w:tc>
          <w:tcPr>
            <w:tcW w:w="3092" w:type="dxa"/>
            <w:tcBorders>
              <w:top w:val="single" w:sz="4" w:space="0" w:color="auto"/>
              <w:left w:val="single" w:sz="4" w:space="0" w:color="auto"/>
              <w:bottom w:val="single" w:sz="4" w:space="0" w:color="auto"/>
              <w:right w:val="single" w:sz="4" w:space="0" w:color="auto"/>
            </w:tcBorders>
            <w:shd w:val="clear" w:color="auto" w:fill="AEAAAA"/>
            <w:tcMar>
              <w:top w:w="115" w:type="dxa"/>
              <w:left w:w="115" w:type="dxa"/>
              <w:right w:w="115" w:type="dxa"/>
            </w:tcMar>
            <w:vAlign w:val="bottom"/>
          </w:tcPr>
          <w:p w14:paraId="5C08FB66" w14:textId="77777777" w:rsidR="00086021" w:rsidRDefault="009E19AB" w:rsidP="00B81FD0">
            <w:pPr>
              <w:pStyle w:val="BodyText"/>
              <w:jc w:val="center"/>
            </w:pPr>
            <w:r>
              <w:t>131</w:t>
            </w:r>
          </w:p>
        </w:tc>
        <w:tc>
          <w:tcPr>
            <w:tcW w:w="3972" w:type="dxa"/>
            <w:tcBorders>
              <w:top w:val="single" w:sz="4" w:space="0" w:color="auto"/>
              <w:left w:val="single" w:sz="4" w:space="0" w:color="auto"/>
              <w:bottom w:val="single" w:sz="4" w:space="0" w:color="auto"/>
              <w:right w:val="single" w:sz="4" w:space="0" w:color="auto"/>
            </w:tcBorders>
            <w:shd w:val="clear" w:color="auto" w:fill="AEAAAA"/>
            <w:tcMar>
              <w:top w:w="115" w:type="dxa"/>
              <w:left w:w="115" w:type="dxa"/>
              <w:right w:w="115" w:type="dxa"/>
            </w:tcMar>
            <w:vAlign w:val="bottom"/>
          </w:tcPr>
          <w:p w14:paraId="5FA1666C" w14:textId="77777777" w:rsidR="00086021" w:rsidRDefault="009E19AB" w:rsidP="00B81FD0">
            <w:pPr>
              <w:pStyle w:val="BodyText"/>
              <w:jc w:val="center"/>
            </w:pPr>
            <w:r>
              <w:t>17</w:t>
            </w:r>
          </w:p>
        </w:tc>
      </w:tr>
      <w:tr w:rsidR="00086021" w14:paraId="29F28E73" w14:textId="77777777" w:rsidTr="00317575">
        <w:trPr>
          <w:trHeight w:val="280"/>
        </w:trPr>
        <w:tc>
          <w:tcPr>
            <w:tcW w:w="2031" w:type="dxa"/>
            <w:tcBorders>
              <w:top w:val="single" w:sz="4" w:space="0" w:color="auto"/>
              <w:left w:val="single" w:sz="4" w:space="0" w:color="auto"/>
              <w:bottom w:val="single" w:sz="4" w:space="0" w:color="auto"/>
              <w:right w:val="single" w:sz="4" w:space="0" w:color="auto"/>
            </w:tcBorders>
            <w:tcMar>
              <w:top w:w="115" w:type="dxa"/>
              <w:left w:w="115" w:type="dxa"/>
              <w:right w:w="115" w:type="dxa"/>
            </w:tcMar>
            <w:vAlign w:val="bottom"/>
          </w:tcPr>
          <w:p w14:paraId="1F2C40B8" w14:textId="77777777" w:rsidR="00086021" w:rsidRDefault="009E19AB">
            <w:pPr>
              <w:pStyle w:val="BodyText"/>
              <w:rPr>
                <w:b/>
                <w:bCs/>
              </w:rPr>
            </w:pPr>
            <w:r>
              <w:rPr>
                <w:b/>
                <w:bCs/>
              </w:rPr>
              <w:t>Total</w:t>
            </w:r>
          </w:p>
        </w:tc>
        <w:tc>
          <w:tcPr>
            <w:tcW w:w="3092" w:type="dxa"/>
            <w:tcBorders>
              <w:top w:val="single" w:sz="4" w:space="0" w:color="auto"/>
              <w:left w:val="single" w:sz="4" w:space="0" w:color="auto"/>
              <w:bottom w:val="single" w:sz="4" w:space="0" w:color="auto"/>
              <w:right w:val="single" w:sz="4" w:space="0" w:color="auto"/>
            </w:tcBorders>
            <w:tcMar>
              <w:top w:w="115" w:type="dxa"/>
              <w:left w:w="115" w:type="dxa"/>
              <w:right w:w="115" w:type="dxa"/>
            </w:tcMar>
            <w:vAlign w:val="bottom"/>
          </w:tcPr>
          <w:p w14:paraId="7FBB94A1" w14:textId="77777777" w:rsidR="00086021" w:rsidRDefault="009E19AB" w:rsidP="00B81FD0">
            <w:pPr>
              <w:pStyle w:val="BodyText"/>
              <w:jc w:val="center"/>
              <w:rPr>
                <w:b/>
                <w:bCs/>
              </w:rPr>
            </w:pPr>
            <w:r>
              <w:rPr>
                <w:b/>
                <w:bCs/>
              </w:rPr>
              <w:t>790</w:t>
            </w:r>
          </w:p>
        </w:tc>
        <w:tc>
          <w:tcPr>
            <w:tcW w:w="3972" w:type="dxa"/>
            <w:tcBorders>
              <w:top w:val="single" w:sz="4" w:space="0" w:color="auto"/>
              <w:left w:val="single" w:sz="4" w:space="0" w:color="auto"/>
              <w:bottom w:val="single" w:sz="4" w:space="0" w:color="auto"/>
              <w:right w:val="single" w:sz="4" w:space="0" w:color="auto"/>
            </w:tcBorders>
            <w:tcMar>
              <w:top w:w="115" w:type="dxa"/>
              <w:left w:w="115" w:type="dxa"/>
              <w:right w:w="115" w:type="dxa"/>
            </w:tcMar>
            <w:vAlign w:val="bottom"/>
          </w:tcPr>
          <w:p w14:paraId="5A41D0C2" w14:textId="2BAD5F4D" w:rsidR="00086021" w:rsidRDefault="00B81FD0" w:rsidP="00B81FD0">
            <w:pPr>
              <w:pStyle w:val="BodyText"/>
              <w:jc w:val="center"/>
              <w:rPr>
                <w:b/>
                <w:bCs/>
              </w:rPr>
            </w:pPr>
            <w:r>
              <w:rPr>
                <w:b/>
                <w:bCs/>
              </w:rPr>
              <w:t>100</w:t>
            </w:r>
          </w:p>
        </w:tc>
      </w:tr>
    </w:tbl>
    <w:p w14:paraId="46DDC76D" w14:textId="131FD54D" w:rsidR="00086021" w:rsidRPr="008F6958" w:rsidRDefault="009E19AB">
      <w:pPr>
        <w:pStyle w:val="BodyText"/>
        <w:ind w:left="540" w:right="360"/>
        <w:rPr>
          <w:b/>
          <w:bCs/>
          <w:sz w:val="24"/>
        </w:rPr>
      </w:pPr>
      <w:r>
        <w:br w:type="page"/>
      </w:r>
    </w:p>
    <w:p w14:paraId="4538817B" w14:textId="77777777" w:rsidR="00086021" w:rsidRDefault="009E19AB">
      <w:pPr>
        <w:pStyle w:val="BodyText"/>
        <w:rPr>
          <w:b/>
          <w:bCs/>
          <w:sz w:val="24"/>
        </w:rPr>
      </w:pPr>
      <w:r>
        <w:rPr>
          <w:b/>
          <w:bCs/>
          <w:noProof/>
          <w:sz w:val="24"/>
        </w:rPr>
        <w:lastRenderedPageBreak/>
        <mc:AlternateContent>
          <mc:Choice Requires="wps">
            <w:drawing>
              <wp:anchor distT="0" distB="0" distL="0" distR="0" simplePos="0" relativeHeight="251661311" behindDoc="1" locked="0" layoutInCell="1" allowOverlap="1" wp14:anchorId="1C36976D" wp14:editId="25935AD4">
                <wp:simplePos x="0" y="0"/>
                <wp:positionH relativeFrom="column">
                  <wp:posOffset>-19050</wp:posOffset>
                </wp:positionH>
                <wp:positionV relativeFrom="paragraph">
                  <wp:posOffset>6350</wp:posOffset>
                </wp:positionV>
                <wp:extent cx="5720080" cy="1708150"/>
                <wp:effectExtent l="0" t="0" r="0" b="6350"/>
                <wp:wrapNone/>
                <wp:docPr id="33" name="Shape2_14"/>
                <wp:cNvGraphicFramePr/>
                <a:graphic xmlns:a="http://schemas.openxmlformats.org/drawingml/2006/main">
                  <a:graphicData uri="http://schemas.microsoft.com/office/word/2010/wordprocessingShape">
                    <wps:wsp>
                      <wps:cNvSpPr/>
                      <wps:spPr>
                        <a:xfrm>
                          <a:off x="0" y="0"/>
                          <a:ext cx="5720080" cy="1708150"/>
                        </a:xfrm>
                        <a:prstGeom prst="rect">
                          <a:avLst/>
                        </a:prstGeom>
                        <a:solidFill>
                          <a:srgbClr val="C9211E">
                            <a:alpha val="15000"/>
                          </a:srgbClr>
                        </a:solidFill>
                        <a:ln>
                          <a:noFill/>
                        </a:ln>
                      </wps:spPr>
                      <wps:style>
                        <a:lnRef idx="0">
                          <a:scrgbClr r="0" g="0" b="0"/>
                        </a:lnRef>
                        <a:fillRef idx="0">
                          <a:scrgbClr r="0" g="0" b="0"/>
                        </a:fillRef>
                        <a:effectRef idx="0">
                          <a:scrgbClr r="0" g="0" b="0"/>
                        </a:effectRef>
                        <a:fontRef idx="minor"/>
                      </wps:style>
                      <wps:bodyPr/>
                    </wps:wsp>
                  </a:graphicData>
                </a:graphic>
                <wp14:sizeRelV relativeFrom="margin">
                  <wp14:pctHeight>0</wp14:pctHeight>
                </wp14:sizeRelV>
              </wp:anchor>
            </w:drawing>
          </mc:Choice>
          <mc:Fallback>
            <w:pict>
              <v:rect w14:anchorId="755E2986" id="Shape2_14" o:spid="_x0000_s1026" style="position:absolute;margin-left:-1.5pt;margin-top:.5pt;width:450.4pt;height:134.5pt;z-index:-251655169;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" fillcolor="#c9211e" stroked="f">
                <v:fill opacity="9766f"/>
              </v:rect>
            </w:pict>
          </mc:Fallback>
        </mc:AlternateContent>
      </w:r>
    </w:p>
    <w:p w14:paraId="23CC2034" w14:textId="77777777" w:rsidR="00086021" w:rsidRDefault="009E19AB" w:rsidP="00317575">
      <w:pPr>
        <w:pStyle w:val="BodyText"/>
        <w:rPr>
          <w:b/>
          <w:bCs/>
          <w:sz w:val="24"/>
        </w:rPr>
      </w:pPr>
      <w:r>
        <w:rPr>
          <w:b/>
          <w:bCs/>
          <w:sz w:val="24"/>
        </w:rPr>
        <w:t>Challenges to Effective Budgeting and Advocacy for KP and AGYW Programs.</w:t>
      </w:r>
    </w:p>
    <w:p w14:paraId="68FC4088" w14:textId="1E707FCF" w:rsidR="00086021" w:rsidRDefault="009E19AB" w:rsidP="00317575">
      <w:pPr>
        <w:pStyle w:val="BodyText"/>
        <w:numPr>
          <w:ilvl w:val="0"/>
          <w:numId w:val="26"/>
        </w:numPr>
        <w:rPr>
          <w:rFonts w:eastAsia="Arial" w:cs="Arial"/>
          <w:sz w:val="20"/>
          <w:szCs w:val="20"/>
        </w:rPr>
      </w:pPr>
      <w:r>
        <w:rPr>
          <w:rFonts w:eastAsia="Arial" w:cs="Arial"/>
          <w:sz w:val="20"/>
          <w:szCs w:val="20"/>
        </w:rPr>
        <w:t xml:space="preserve">Lack of information and knowledge on the legislative and budgeting process as well as specific timelines by various stakeholders </w:t>
      </w:r>
      <w:r w:rsidR="00317575">
        <w:rPr>
          <w:rFonts w:eastAsia="Arial" w:cs="Arial"/>
          <w:sz w:val="20"/>
          <w:szCs w:val="20"/>
        </w:rPr>
        <w:t>i.e.,</w:t>
      </w:r>
      <w:r>
        <w:rPr>
          <w:rFonts w:eastAsia="Arial" w:cs="Arial"/>
          <w:sz w:val="20"/>
          <w:szCs w:val="20"/>
        </w:rPr>
        <w:t xml:space="preserve"> CSOs, KPs and AGYWs.</w:t>
      </w:r>
    </w:p>
    <w:p w14:paraId="304492D9" w14:textId="77777777" w:rsidR="00086021" w:rsidRDefault="009E19AB" w:rsidP="00317575">
      <w:pPr>
        <w:pStyle w:val="BodyText"/>
        <w:numPr>
          <w:ilvl w:val="0"/>
          <w:numId w:val="26"/>
        </w:numPr>
        <w:rPr>
          <w:sz w:val="20"/>
          <w:szCs w:val="20"/>
        </w:rPr>
      </w:pPr>
      <w:r>
        <w:rPr>
          <w:sz w:val="20"/>
          <w:szCs w:val="20"/>
        </w:rPr>
        <w:t>Criminalization of KPs.</w:t>
      </w:r>
    </w:p>
    <w:p w14:paraId="51C268D2" w14:textId="77777777" w:rsidR="00086021" w:rsidRDefault="009E19AB" w:rsidP="00317575">
      <w:pPr>
        <w:pStyle w:val="BodyText"/>
        <w:numPr>
          <w:ilvl w:val="0"/>
          <w:numId w:val="26"/>
        </w:numPr>
        <w:rPr>
          <w:rFonts w:eastAsia="Arial" w:cs="Arial"/>
          <w:sz w:val="20"/>
          <w:szCs w:val="20"/>
        </w:rPr>
      </w:pPr>
      <w:r>
        <w:rPr>
          <w:rFonts w:eastAsia="Arial" w:cs="Arial"/>
          <w:sz w:val="20"/>
          <w:szCs w:val="20"/>
        </w:rPr>
        <w:t>Undefined roles and responsibilities and information asymmetry between levels of government and the public and private sectors; siloed planning.</w:t>
      </w:r>
    </w:p>
    <w:p w14:paraId="2A3C1FE6" w14:textId="77777777" w:rsidR="00086021" w:rsidRDefault="00086021">
      <w:pPr>
        <w:pStyle w:val="BodyText"/>
        <w:ind w:left="540" w:hanging="89"/>
        <w:rPr>
          <w:rFonts w:eastAsia="Arial" w:cs="Arial"/>
          <w:sz w:val="20"/>
          <w:szCs w:val="20"/>
        </w:rPr>
      </w:pPr>
    </w:p>
    <w:p w14:paraId="5FA08BB3" w14:textId="77777777" w:rsidR="00086021" w:rsidRDefault="009E19AB" w:rsidP="008F6958">
      <w:pPr>
        <w:pStyle w:val="BodyText"/>
        <w:jc w:val="both"/>
        <w:rPr>
          <w:sz w:val="20"/>
          <w:szCs w:val="20"/>
        </w:rPr>
      </w:pPr>
      <w:r>
        <w:rPr>
          <w:rFonts w:eastAsia="Abadi Extra Light" w:cs="Abadi Extra Light"/>
          <w:color w:val="222222"/>
          <w:sz w:val="20"/>
          <w:szCs w:val="20"/>
          <w:highlight w:val="white"/>
        </w:rPr>
        <w:t>Several counties in Kenya have implemented Program Based Budgeting (PBB) - 12 counties</w:t>
      </w:r>
      <w:r>
        <w:rPr>
          <w:rStyle w:val="FootnoteAnchor"/>
          <w:rFonts w:eastAsia="Abadi Extra Light" w:cs="Abadi Extra Light"/>
          <w:color w:val="222222"/>
          <w:sz w:val="20"/>
          <w:szCs w:val="20"/>
          <w:highlight w:val="white"/>
        </w:rPr>
        <w:footnoteReference w:id="4"/>
      </w:r>
      <w:r>
        <w:rPr>
          <w:rFonts w:eastAsia="Abadi Extra Light" w:cs="Abadi Extra Light"/>
          <w:color w:val="222222"/>
          <w:sz w:val="20"/>
          <w:szCs w:val="20"/>
          <w:highlight w:val="white"/>
        </w:rPr>
        <w:t xml:space="preserve"> - which saw increased allocations to their collective health sectors by Kshs 1.2 billion from the previous fiscal year (FY) 2015/16 budget (Health Policy Plus, 2016). Additionally, by including HIV as a distinct sub-program in their annual budgets, each of the counties collectively allocated Kshs 186 million to HIV for FY 2016/17. In the previous year, only four of the 12 counties included HIV programs in their budgets.</w:t>
      </w:r>
    </w:p>
    <w:p w14:paraId="2D1C475E" w14:textId="77777777" w:rsidR="00086021" w:rsidRDefault="009E19AB" w:rsidP="008F6958">
      <w:pPr>
        <w:pStyle w:val="BodyText"/>
        <w:jc w:val="both"/>
        <w:rPr>
          <w:sz w:val="20"/>
          <w:szCs w:val="20"/>
        </w:rPr>
      </w:pPr>
      <w:r>
        <w:rPr>
          <w:sz w:val="20"/>
          <w:szCs w:val="20"/>
        </w:rPr>
        <w:t>PEPFAR too adopted Program Based Incremental Budgeting for its Country Operational Plans (COP19 and COP20) with a view to aligning funding to intended outputs and outcomes.</w:t>
      </w:r>
    </w:p>
    <w:p w14:paraId="30EAA5DC" w14:textId="211030F0" w:rsidR="00086021" w:rsidRDefault="009E19AB" w:rsidP="008F6958">
      <w:pPr>
        <w:pStyle w:val="BodyText"/>
        <w:jc w:val="both"/>
        <w:rPr>
          <w:sz w:val="20"/>
          <w:szCs w:val="20"/>
        </w:rPr>
      </w:pPr>
      <w:r>
        <w:rPr>
          <w:rFonts w:eastAsia="Arial" w:cs="Arial"/>
          <w:color w:val="222222"/>
          <w:sz w:val="20"/>
          <w:szCs w:val="20"/>
          <w:highlight w:val="white"/>
        </w:rPr>
        <w:t xml:space="preserve">Over 80% of the community-based organization representatives interviewed had not at any point interacted with </w:t>
      </w:r>
      <w:r>
        <w:rPr>
          <w:rFonts w:eastAsia="Arial" w:cs="Arial"/>
          <w:b/>
          <w:bCs/>
          <w:color w:val="222222"/>
          <w:sz w:val="20"/>
          <w:szCs w:val="20"/>
          <w:highlight w:val="white"/>
        </w:rPr>
        <w:t xml:space="preserve">regulations governing fundraising and accountability for CSOs. </w:t>
      </w:r>
    </w:p>
    <w:p w14:paraId="34E9B20E" w14:textId="77777777" w:rsidR="00086021" w:rsidRDefault="009E19AB" w:rsidP="008F6958">
      <w:pPr>
        <w:pStyle w:val="BodyText"/>
        <w:jc w:val="both"/>
        <w:rPr>
          <w:sz w:val="20"/>
          <w:szCs w:val="20"/>
        </w:rPr>
      </w:pPr>
      <w:r>
        <w:rPr>
          <w:sz w:val="20"/>
          <w:szCs w:val="20"/>
        </w:rPr>
        <w:t xml:space="preserve">They were further not aware of the available avenues to engage in budget advocacy for their communities. This raises a critical question on how exactly these organizations structure their fundraising efforts and agendas. The level of knowledge on the responsibility and entitlements in the national budget is generally low with most feeling they did not bear any control whatsoever in what national budgets cater for. </w:t>
      </w:r>
    </w:p>
    <w:p w14:paraId="0460815B" w14:textId="77777777" w:rsidR="00086021" w:rsidRDefault="009E19AB" w:rsidP="008F6958">
      <w:pPr>
        <w:pStyle w:val="BodyText"/>
        <w:jc w:val="both"/>
        <w:rPr>
          <w:sz w:val="20"/>
          <w:szCs w:val="20"/>
        </w:rPr>
      </w:pPr>
      <w:r>
        <w:rPr>
          <w:sz w:val="20"/>
          <w:szCs w:val="20"/>
        </w:rPr>
        <w:t xml:space="preserve">There are no specific formal processes allowing KP communities to be engaged in the budget processes, except during public participation. However, with the dawn of UHC and Kenya committing to implement this, there is need for dedicated engagement processes on how Key and Priority populations can engage in the design and budgeting for their programs. </w:t>
      </w:r>
    </w:p>
    <w:p w14:paraId="054F315E" w14:textId="77777777" w:rsidR="00086021" w:rsidRDefault="009E19AB" w:rsidP="008F6958">
      <w:pPr>
        <w:pStyle w:val="BodyText"/>
        <w:jc w:val="both"/>
        <w:rPr>
          <w:sz w:val="20"/>
          <w:szCs w:val="20"/>
        </w:rPr>
      </w:pPr>
      <w:r>
        <w:rPr>
          <w:sz w:val="20"/>
          <w:szCs w:val="20"/>
        </w:rPr>
        <w:t xml:space="preserve">Community health bill provides guidelines on how to incorporate how CSOs engage in the health system and ideally supplements the NASCOP guidelines on how CSOs engage with community health systems. This still creates a challenge since there is no recognition of the KP health workers as CHWs. There still exists no documented or formalized health financing policy or document outlining how KP programs should be financed. </w:t>
      </w:r>
    </w:p>
    <w:p w14:paraId="4A258431" w14:textId="77777777" w:rsidR="00086021" w:rsidRDefault="009E19AB">
      <w:pPr>
        <w:pStyle w:val="Quote"/>
        <w:rPr>
          <w:color w:val="C9211E"/>
          <w:sz w:val="20"/>
          <w:szCs w:val="20"/>
        </w:rPr>
      </w:pPr>
      <w:r>
        <w:rPr>
          <w:rFonts w:eastAsia="Abadi Extra Light" w:cs="Abadi Extra Light"/>
          <w:color w:val="C9211E"/>
          <w:sz w:val="20"/>
          <w:szCs w:val="20"/>
        </w:rPr>
        <w:t>“</w:t>
      </w:r>
      <w:r>
        <w:rPr>
          <w:color w:val="C9211E"/>
          <w:sz w:val="20"/>
          <w:szCs w:val="20"/>
        </w:rPr>
        <w:t>Most KPs and AGYWs do not engage in the budgeting process because they do not understand the budget cycle and feel that the process is too technical for the lay persons to understand.” - KP Representative</w:t>
      </w:r>
    </w:p>
    <w:p w14:paraId="1C4D299D" w14:textId="77777777" w:rsidR="00086021" w:rsidRDefault="00086021">
      <w:pPr>
        <w:rPr>
          <w:rFonts w:eastAsia="Abadi Extra Light" w:cs="Abadi Extra Light"/>
          <w:color w:val="0070C0"/>
          <w:sz w:val="20"/>
          <w:szCs w:val="20"/>
        </w:rPr>
      </w:pPr>
    </w:p>
    <w:p w14:paraId="57422F65" w14:textId="77777777" w:rsidR="00086021" w:rsidRDefault="009E19AB">
      <w:pPr>
        <w:pStyle w:val="Quote"/>
        <w:rPr>
          <w:color w:val="C9211E"/>
          <w:sz w:val="20"/>
          <w:szCs w:val="20"/>
        </w:rPr>
      </w:pPr>
      <w:r>
        <w:rPr>
          <w:rFonts w:eastAsia="Abadi Extra Light" w:cs="Abadi Extra Light"/>
          <w:color w:val="C9211E"/>
          <w:sz w:val="20"/>
          <w:szCs w:val="20"/>
        </w:rPr>
        <w:t xml:space="preserve">“… such a document [a health financing policy for KP], becomes difficult to implement mainly because of criminalization of KP. Countries have tied themselves in laws that make it difficult to plan for what they can do for KP.” - </w:t>
      </w:r>
      <w:r>
        <w:rPr>
          <w:i/>
          <w:iCs/>
          <w:color w:val="C9211E"/>
          <w:sz w:val="20"/>
          <w:szCs w:val="20"/>
        </w:rPr>
        <w:t>KP Representative</w:t>
      </w:r>
    </w:p>
    <w:p w14:paraId="21211AD9" w14:textId="77777777" w:rsidR="00086021" w:rsidRDefault="00086021">
      <w:pPr>
        <w:rPr>
          <w:i/>
          <w:iCs/>
          <w:color w:val="C9211E"/>
          <w:sz w:val="20"/>
          <w:szCs w:val="20"/>
        </w:rPr>
      </w:pPr>
    </w:p>
    <w:p w14:paraId="0E0FB28E" w14:textId="77777777" w:rsidR="00086021" w:rsidRDefault="009E19AB" w:rsidP="008F6958">
      <w:pPr>
        <w:pStyle w:val="BodyText"/>
        <w:jc w:val="both"/>
        <w:rPr>
          <w:sz w:val="20"/>
          <w:szCs w:val="20"/>
        </w:rPr>
      </w:pPr>
      <w:r>
        <w:rPr>
          <w:sz w:val="20"/>
          <w:szCs w:val="20"/>
        </w:rPr>
        <w:lastRenderedPageBreak/>
        <w:t xml:space="preserve">Sharing and adopting some of the lessons from the KP program learnt over the years will move CSO capacity to </w:t>
      </w:r>
      <w:proofErr w:type="gramStart"/>
      <w:r>
        <w:rPr>
          <w:sz w:val="20"/>
          <w:szCs w:val="20"/>
        </w:rPr>
        <w:t>more effectively engage in the processes</w:t>
      </w:r>
      <w:proofErr w:type="gramEnd"/>
      <w:r>
        <w:rPr>
          <w:sz w:val="20"/>
          <w:szCs w:val="20"/>
        </w:rPr>
        <w:t>. They can benefit from knowledge and information on how, who and when to engage in the processes.</w:t>
      </w:r>
    </w:p>
    <w:p w14:paraId="0B419C26" w14:textId="77777777" w:rsidR="00086021" w:rsidRDefault="009E19AB" w:rsidP="008F6958">
      <w:pPr>
        <w:pStyle w:val="BodyText"/>
        <w:jc w:val="both"/>
        <w:rPr>
          <w:sz w:val="20"/>
          <w:szCs w:val="20"/>
        </w:rPr>
      </w:pPr>
      <w:r>
        <w:rPr>
          <w:sz w:val="20"/>
          <w:szCs w:val="20"/>
        </w:rPr>
        <w:t>Challenges with cash flow and timely disbursement of funds at the county level was cited as a major cause for concern for HIV programs in donor transition. Budget execution for procurement continues to be hindered by a series of bureaucratic delays related to giving specifications for goods to be bought, nominations to tender- evaluation committees, and disbursing funds from National Treasury.</w:t>
      </w:r>
    </w:p>
    <w:p w14:paraId="6F1017DF" w14:textId="77777777" w:rsidR="00086021" w:rsidRDefault="00086021">
      <w:pPr>
        <w:pStyle w:val="BodyText"/>
        <w:rPr>
          <w:sz w:val="20"/>
          <w:szCs w:val="20"/>
        </w:rPr>
      </w:pPr>
    </w:p>
    <w:p w14:paraId="5770BD72" w14:textId="77777777" w:rsidR="00086021" w:rsidRDefault="009E19AB">
      <w:pPr>
        <w:pStyle w:val="Quote"/>
        <w:rPr>
          <w:color w:val="C9211E"/>
          <w:sz w:val="20"/>
          <w:szCs w:val="20"/>
        </w:rPr>
      </w:pPr>
      <w:r>
        <w:rPr>
          <w:color w:val="C9211E"/>
          <w:sz w:val="20"/>
          <w:szCs w:val="20"/>
        </w:rPr>
        <w:t xml:space="preserve">“Stockouts of commodities for KPs such as lubricants, HIV testing Kits, medicines for sexually transmitted infections and masks at service delivery </w:t>
      </w:r>
      <w:r>
        <w:rPr>
          <w:rFonts w:eastAsia="Abadi Extra Light" w:cs="Abadi Extra Light"/>
          <w:color w:val="C9211E"/>
          <w:sz w:val="20"/>
          <w:szCs w:val="20"/>
        </w:rPr>
        <w:t xml:space="preserve">points is not uncommon due to delays in disbursement of funds”. – </w:t>
      </w:r>
      <w:r>
        <w:rPr>
          <w:i/>
          <w:iCs/>
          <w:color w:val="C9211E"/>
          <w:sz w:val="20"/>
          <w:szCs w:val="20"/>
        </w:rPr>
        <w:t>County AIDS and STIs Coordinator (</w:t>
      </w:r>
      <w:r>
        <w:rPr>
          <w:rFonts w:eastAsia="Abadi Extra Light" w:cs="Abadi Extra Light"/>
          <w:i/>
          <w:iCs/>
          <w:color w:val="C9211E"/>
          <w:sz w:val="20"/>
          <w:szCs w:val="20"/>
        </w:rPr>
        <w:t>CASCO)</w:t>
      </w:r>
    </w:p>
    <w:p w14:paraId="1B20ACF0" w14:textId="77777777" w:rsidR="00086021" w:rsidRDefault="00086021">
      <w:pPr>
        <w:pStyle w:val="BodyText"/>
        <w:rPr>
          <w:sz w:val="20"/>
          <w:szCs w:val="20"/>
        </w:rPr>
      </w:pPr>
    </w:p>
    <w:p w14:paraId="4F972397" w14:textId="77777777" w:rsidR="00086021" w:rsidRDefault="009E19AB" w:rsidP="008F6958">
      <w:pPr>
        <w:pStyle w:val="BodyText"/>
        <w:jc w:val="both"/>
        <w:rPr>
          <w:sz w:val="20"/>
          <w:szCs w:val="20"/>
        </w:rPr>
      </w:pPr>
      <w:r>
        <w:rPr>
          <w:sz w:val="20"/>
          <w:szCs w:val="20"/>
        </w:rPr>
        <w:t>Undefined roles and responsibilities and information asymmetry between levels of government and the public and private sectors and siloed planning has also led to duplication of efforts creating major inefficiencies.</w:t>
      </w:r>
    </w:p>
    <w:p w14:paraId="743D3EBB" w14:textId="77777777" w:rsidR="00086021" w:rsidRDefault="009E19AB">
      <w:pPr>
        <w:pStyle w:val="Quote"/>
        <w:rPr>
          <w:color w:val="C9211E"/>
          <w:sz w:val="20"/>
          <w:szCs w:val="20"/>
        </w:rPr>
      </w:pPr>
      <w:r>
        <w:rPr>
          <w:rFonts w:eastAsia="Abadi Extra Light" w:cs="Abadi Extra Light"/>
          <w:color w:val="C9211E"/>
          <w:sz w:val="20"/>
          <w:szCs w:val="20"/>
        </w:rPr>
        <w:t xml:space="preserve">“At times, we (county governments) don’t even know what activities the ministry of health is doing. You can even find instances where the governor is not aware of what some development partners are doing in the county. It is that bad. We need to co-ordinate and work together so that we get to know where and how resources for HIV are allocated.” – </w:t>
      </w:r>
      <w:r>
        <w:rPr>
          <w:i/>
          <w:iCs/>
          <w:color w:val="C9211E"/>
          <w:sz w:val="20"/>
          <w:szCs w:val="20"/>
        </w:rPr>
        <w:t>County Health Official</w:t>
      </w:r>
    </w:p>
    <w:p w14:paraId="6C9C74D5" w14:textId="77777777" w:rsidR="00086021" w:rsidRDefault="00086021">
      <w:pPr>
        <w:rPr>
          <w:i/>
          <w:iCs/>
          <w:color w:val="C9211E"/>
          <w:sz w:val="20"/>
          <w:szCs w:val="20"/>
        </w:rPr>
      </w:pPr>
    </w:p>
    <w:p w14:paraId="493AF49B" w14:textId="77777777" w:rsidR="00086021" w:rsidRDefault="009E19AB" w:rsidP="008F6958">
      <w:pPr>
        <w:pStyle w:val="BodyText"/>
        <w:jc w:val="both"/>
        <w:rPr>
          <w:sz w:val="20"/>
          <w:szCs w:val="20"/>
        </w:rPr>
      </w:pPr>
      <w:r>
        <w:rPr>
          <w:sz w:val="20"/>
          <w:szCs w:val="20"/>
        </w:rPr>
        <w:t xml:space="preserve">Lack of information on the legislative and budgeting process as well as specific timelines by various stakeholders </w:t>
      </w:r>
      <w:proofErr w:type="gramStart"/>
      <w:r>
        <w:rPr>
          <w:sz w:val="20"/>
          <w:szCs w:val="20"/>
        </w:rPr>
        <w:t>i.e.</w:t>
      </w:r>
      <w:proofErr w:type="gramEnd"/>
      <w:r>
        <w:rPr>
          <w:sz w:val="20"/>
          <w:szCs w:val="20"/>
        </w:rPr>
        <w:t xml:space="preserve"> CSOs, KPs and AGYWs was cited as a major hindrance to participation in the budgeting process. Time for budget negotiations was cited as being short, and budget sessions are not long enough to make the process as participatory and useful as it should be. </w:t>
      </w:r>
    </w:p>
    <w:p w14:paraId="75C6C76E" w14:textId="77777777" w:rsidR="00086021" w:rsidRDefault="00086021">
      <w:pPr>
        <w:pStyle w:val="BodyText"/>
        <w:rPr>
          <w:sz w:val="20"/>
          <w:szCs w:val="20"/>
        </w:rPr>
      </w:pPr>
    </w:p>
    <w:p w14:paraId="65DDC118" w14:textId="77777777" w:rsidR="00086021" w:rsidRDefault="009E19AB">
      <w:pPr>
        <w:pStyle w:val="Quote"/>
        <w:rPr>
          <w:color w:val="C9211E"/>
          <w:sz w:val="20"/>
          <w:szCs w:val="20"/>
        </w:rPr>
      </w:pPr>
      <w:r>
        <w:rPr>
          <w:rFonts w:eastAsia="Abadi Extra Light" w:cs="Abadi Extra Light"/>
          <w:color w:val="C9211E"/>
          <w:sz w:val="20"/>
          <w:szCs w:val="20"/>
        </w:rPr>
        <w:t>“Most times, the call for citizen participation is short and hence most people don’t participate in the budgeting process. We sometimes are not aware when these meetings are supposed to take place.”</w:t>
      </w:r>
      <w:r>
        <w:rPr>
          <w:rFonts w:eastAsia="Abadi Extra Light" w:cs="Abadi Extra Light"/>
          <w:i/>
          <w:color w:val="C9211E"/>
          <w:sz w:val="20"/>
          <w:szCs w:val="20"/>
        </w:rPr>
        <w:t xml:space="preserve"> (Healthcare Provider)</w:t>
      </w:r>
    </w:p>
    <w:p w14:paraId="0745928F" w14:textId="77777777" w:rsidR="00086021" w:rsidRDefault="009E19AB" w:rsidP="008F6958">
      <w:pPr>
        <w:pStyle w:val="BodyText"/>
        <w:jc w:val="both"/>
        <w:rPr>
          <w:sz w:val="20"/>
          <w:szCs w:val="20"/>
        </w:rPr>
      </w:pPr>
      <w:r>
        <w:rPr>
          <w:sz w:val="20"/>
          <w:szCs w:val="20"/>
        </w:rPr>
        <w:t xml:space="preserve">Unavailability of complete, timely, quality data was also cited as a major challenge to structuring of budgets accurately according to needs for priority populations, programs, and services. </w:t>
      </w:r>
    </w:p>
    <w:p w14:paraId="13142D73" w14:textId="77777777" w:rsidR="00086021" w:rsidRDefault="009E19AB">
      <w:pPr>
        <w:pStyle w:val="Quote"/>
        <w:rPr>
          <w:color w:val="C9211E"/>
          <w:sz w:val="20"/>
          <w:szCs w:val="20"/>
        </w:rPr>
      </w:pPr>
      <w:r>
        <w:rPr>
          <w:rFonts w:eastAsia="Abadi Extra Light" w:cs="Abadi Extra Light"/>
          <w:color w:val="C9211E"/>
          <w:sz w:val="20"/>
          <w:szCs w:val="20"/>
        </w:rPr>
        <w:t xml:space="preserve">“Compilation of data needed to support strategic, data-informed purchasing of services also becomes a huge challenge when there are no integrated information systems for all actors involved.” – </w:t>
      </w:r>
      <w:r>
        <w:rPr>
          <w:rFonts w:eastAsia="Abadi Extra Light" w:cs="Abadi Extra Light"/>
          <w:i/>
          <w:iCs/>
          <w:color w:val="C9211E"/>
          <w:sz w:val="20"/>
          <w:szCs w:val="20"/>
        </w:rPr>
        <w:t>County Director of Health</w:t>
      </w:r>
    </w:p>
    <w:p w14:paraId="082062C8" w14:textId="77777777" w:rsidR="00086021" w:rsidRDefault="009E19AB">
      <w:pPr>
        <w:pStyle w:val="Quote"/>
        <w:rPr>
          <w:rFonts w:eastAsia="Arial" w:cs="Arial"/>
          <w:color w:val="C9211E"/>
          <w:sz w:val="20"/>
          <w:szCs w:val="20"/>
        </w:rPr>
      </w:pPr>
      <w:r>
        <w:rPr>
          <w:rFonts w:eastAsia="Arial" w:cs="Arial"/>
          <w:color w:val="C9211E"/>
          <w:sz w:val="20"/>
          <w:szCs w:val="20"/>
        </w:rPr>
        <w:t xml:space="preserve"> </w:t>
      </w:r>
      <w:r>
        <w:br w:type="page"/>
      </w:r>
    </w:p>
    <w:p w14:paraId="5D7A4981" w14:textId="77777777" w:rsidR="00086021" w:rsidRDefault="009E19AB">
      <w:pPr>
        <w:pStyle w:val="Heading4"/>
      </w:pPr>
      <w:bookmarkStart w:id="27" w:name="_Toc56997945"/>
      <w:r>
        <w:lastRenderedPageBreak/>
        <w:t>3.2.3. Pooling Mechanisms in Kenya</w:t>
      </w:r>
      <w:bookmarkEnd w:id="27"/>
    </w:p>
    <w:p w14:paraId="3762B234" w14:textId="77777777" w:rsidR="00086021" w:rsidRDefault="00086021">
      <w:pPr>
        <w:pStyle w:val="BodyText"/>
        <w:rPr>
          <w:sz w:val="20"/>
          <w:szCs w:val="20"/>
        </w:rPr>
      </w:pPr>
    </w:p>
    <w:p w14:paraId="605B54A6" w14:textId="4746A87D" w:rsidR="00086021" w:rsidRDefault="009E19AB" w:rsidP="008F6958">
      <w:pPr>
        <w:pStyle w:val="BodyText"/>
        <w:jc w:val="both"/>
        <w:rPr>
          <w:rFonts w:eastAsia="Abadi Extra Light" w:cs="Abadi Extra Light"/>
          <w:sz w:val="20"/>
          <w:szCs w:val="20"/>
        </w:rPr>
      </w:pPr>
      <w:r>
        <w:rPr>
          <w:rFonts w:eastAsia="Abadi Extra Light" w:cs="Abadi Extra Light"/>
          <w:sz w:val="20"/>
          <w:szCs w:val="20"/>
        </w:rPr>
        <w:t>Revenue Pooling is a core function of health financing policy that encompasses spreading of financial risk across a population or group in the population through the accumulation of pre-paid health care revenue (Carrin et al., 2007). This is to ensure no individual carries the full burden of paying for health care and promotes equity and financial protection to households</w:t>
      </w:r>
      <w:r>
        <w:rPr>
          <w:rFonts w:eastAsia="Abadi Extra Light" w:cs="Abadi Extra Light"/>
          <w:sz w:val="20"/>
          <w:szCs w:val="20"/>
          <w:highlight w:val="white"/>
        </w:rPr>
        <w:t>. It encompasses the insurance function within a health system (implicit pooling) as well as general tax revenue (explicit pooling) (Chuma &amp; Okungu, 2011).  These pooled funds are then used to pay for all or part of the cost of providing a defined set of health services for members of the pool. Figure 16 shows the trends in health insurance coverage in Kenya between 2009 and 2014.</w:t>
      </w:r>
    </w:p>
    <w:p w14:paraId="7CBAA21E" w14:textId="77777777" w:rsidR="008F6958" w:rsidRDefault="008F6958" w:rsidP="008F6958">
      <w:pPr>
        <w:pStyle w:val="BodyText"/>
        <w:jc w:val="both"/>
        <w:rPr>
          <w:sz w:val="20"/>
          <w:szCs w:val="20"/>
        </w:rPr>
      </w:pPr>
    </w:p>
    <w:p w14:paraId="2ACB4364" w14:textId="77777777" w:rsidR="00086021" w:rsidRPr="008F6958" w:rsidRDefault="009E19AB">
      <w:pPr>
        <w:pStyle w:val="Figure"/>
        <w:rPr>
          <w:b/>
          <w:bCs/>
          <w:sz w:val="18"/>
          <w:szCs w:val="18"/>
        </w:rPr>
      </w:pPr>
      <w:r w:rsidRPr="008F6958">
        <w:rPr>
          <w:b/>
          <w:bCs/>
          <w:sz w:val="18"/>
          <w:szCs w:val="18"/>
        </w:rPr>
        <w:t xml:space="preserve">Figure 17: Health Insurance Coverage in Kenya between 2009 and 2014 </w:t>
      </w:r>
    </w:p>
    <w:p w14:paraId="52E51A0F" w14:textId="40AB23A7" w:rsidR="00086021" w:rsidRDefault="000D7D36">
      <w:pPr>
        <w:pStyle w:val="Figure"/>
      </w:pPr>
      <w:r>
        <w:rPr>
          <w:noProof/>
        </w:rPr>
        <w:drawing>
          <wp:inline distT="0" distB="0" distL="0" distR="0" wp14:anchorId="008385FA" wp14:editId="10A8DA43">
            <wp:extent cx="5731510" cy="2925445"/>
            <wp:effectExtent l="0" t="0" r="2540" b="8255"/>
            <wp:docPr id="65" name="Chart 65">
              <a:extLst xmlns:a="http://schemas.openxmlformats.org/drawingml/2006/main">
                <a:ext uri="{FF2B5EF4-FFF2-40B4-BE49-F238E27FC236}">
                  <a16:creationId xmlns:a16="http://schemas.microsoft.com/office/drawing/2014/main" id="{437D6B8D-E053-4C80-94ED-E034342BC5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A259D46" w14:textId="77777777" w:rsidR="00086021" w:rsidRDefault="009E19AB">
      <w:pPr>
        <w:pStyle w:val="BodyText"/>
        <w:rPr>
          <w:i/>
          <w:iCs/>
          <w:sz w:val="16"/>
          <w:szCs w:val="16"/>
        </w:rPr>
      </w:pPr>
      <w:r>
        <w:rPr>
          <w:i/>
          <w:iCs/>
          <w:sz w:val="16"/>
          <w:szCs w:val="16"/>
        </w:rPr>
        <w:t>Source: Kazungu et al, 2017</w:t>
      </w:r>
    </w:p>
    <w:p w14:paraId="500F4884" w14:textId="77777777" w:rsidR="00086021" w:rsidRDefault="009E19AB" w:rsidP="008F6958">
      <w:pPr>
        <w:pStyle w:val="BodyText"/>
        <w:jc w:val="both"/>
        <w:rPr>
          <w:sz w:val="20"/>
          <w:szCs w:val="20"/>
        </w:rPr>
      </w:pPr>
      <w:r>
        <w:rPr>
          <w:sz w:val="20"/>
          <w:szCs w:val="20"/>
        </w:rPr>
        <w:t>Health insurance coverage was highest amongst the richest income quintile (42%) compared to the poorest income quintile (3%). It was also higher among the urban population (27%) than the rural population (12%).</w:t>
      </w:r>
    </w:p>
    <w:p w14:paraId="755DD1BB" w14:textId="77777777" w:rsidR="00086021" w:rsidRDefault="009E19AB" w:rsidP="008F6958">
      <w:pPr>
        <w:pStyle w:val="BodyText"/>
        <w:jc w:val="both"/>
        <w:rPr>
          <w:b/>
          <w:bCs/>
          <w:sz w:val="20"/>
          <w:szCs w:val="20"/>
        </w:rPr>
      </w:pPr>
      <w:bookmarkStart w:id="28" w:name="_Toc56997946"/>
      <w:r>
        <w:rPr>
          <w:b/>
          <w:bCs/>
          <w:sz w:val="20"/>
          <w:szCs w:val="20"/>
        </w:rPr>
        <w:t>a) The National Hospital Insurance Fund (NHIF)- Social Health Insurance</w:t>
      </w:r>
      <w:bookmarkEnd w:id="28"/>
    </w:p>
    <w:p w14:paraId="2B43F4B6" w14:textId="77777777" w:rsidR="00086021" w:rsidRDefault="009E19AB" w:rsidP="008F6958">
      <w:pPr>
        <w:pStyle w:val="BodyText"/>
        <w:jc w:val="both"/>
        <w:rPr>
          <w:sz w:val="20"/>
          <w:szCs w:val="20"/>
        </w:rPr>
      </w:pPr>
      <w:r>
        <w:rPr>
          <w:sz w:val="20"/>
          <w:szCs w:val="20"/>
        </w:rPr>
        <w:t xml:space="preserve">NHIF was established in 1966 with mandatory membership for all employed Kenyans. NHIF is the primary provider of health insurance in Kenya, with a mandate to enable Kenyans to access quality and affordable health services. NHIF is positioning itself as a key player in the attainment of universal healthcare in the country. NHIF covers all individuals working in the formal sector and their dependents aged below 21 years. Children aged 21 years and above who are still in school are entitled to benefits from their parents’ memberships, and people in informal sectors can join voluntarily. </w:t>
      </w:r>
    </w:p>
    <w:p w14:paraId="690FB4AB" w14:textId="77777777" w:rsidR="00086021" w:rsidRDefault="009E19AB" w:rsidP="008F6958">
      <w:pPr>
        <w:pStyle w:val="BodyText"/>
        <w:jc w:val="both"/>
        <w:rPr>
          <w:sz w:val="20"/>
          <w:szCs w:val="20"/>
        </w:rPr>
      </w:pPr>
      <w:r>
        <w:rPr>
          <w:sz w:val="20"/>
          <w:szCs w:val="20"/>
        </w:rPr>
        <w:t xml:space="preserve">About 88.4% of households with health insurance are covered through the NHIF, contributing about 5% of THE in FY 2012/13 (KHHUES, 2013). </w:t>
      </w:r>
    </w:p>
    <w:p w14:paraId="1A92FA10" w14:textId="77777777" w:rsidR="00086021" w:rsidRDefault="009E19AB">
      <w:pPr>
        <w:pStyle w:val="Quote"/>
        <w:rPr>
          <w:sz w:val="20"/>
          <w:szCs w:val="20"/>
        </w:rPr>
      </w:pPr>
      <w:r>
        <w:rPr>
          <w:sz w:val="20"/>
          <w:szCs w:val="20"/>
        </w:rPr>
        <w:t>“By 2017, NHIF was estimated to cover about 20% of the Kenyan population and 89.4% of the households with health insurance.” – Dutta et al, 2018</w:t>
      </w:r>
    </w:p>
    <w:p w14:paraId="138FE78B" w14:textId="77777777" w:rsidR="00086021" w:rsidRDefault="009E19AB">
      <w:pPr>
        <w:rPr>
          <w:sz w:val="20"/>
          <w:szCs w:val="20"/>
        </w:rPr>
      </w:pPr>
      <w:r>
        <w:br w:type="page"/>
      </w:r>
    </w:p>
    <w:p w14:paraId="12B28E06" w14:textId="77777777" w:rsidR="00086021" w:rsidRDefault="009E19AB">
      <w:pPr>
        <w:pStyle w:val="BodyText"/>
        <w:rPr>
          <w:b/>
          <w:bCs/>
          <w:sz w:val="20"/>
          <w:szCs w:val="20"/>
        </w:rPr>
      </w:pPr>
      <w:r>
        <w:rPr>
          <w:b/>
          <w:bCs/>
          <w:noProof/>
          <w:sz w:val="20"/>
          <w:szCs w:val="20"/>
        </w:rPr>
        <w:lastRenderedPageBreak/>
        <mc:AlternateContent>
          <mc:Choice Requires="wps">
            <w:drawing>
              <wp:anchor distT="0" distB="0" distL="0" distR="0" simplePos="0" relativeHeight="39" behindDoc="0" locked="0" layoutInCell="1" allowOverlap="1" wp14:anchorId="7ECCFA83" wp14:editId="18B36D34">
                <wp:simplePos x="0" y="0"/>
                <wp:positionH relativeFrom="column">
                  <wp:posOffset>23495</wp:posOffset>
                </wp:positionH>
                <wp:positionV relativeFrom="paragraph">
                  <wp:posOffset>6985</wp:posOffset>
                </wp:positionV>
                <wp:extent cx="5720080" cy="1522095"/>
                <wp:effectExtent l="0" t="0" r="0" b="0"/>
                <wp:wrapNone/>
                <wp:docPr id="35" name="Shape2_15"/>
                <wp:cNvGraphicFramePr/>
                <a:graphic xmlns:a="http://schemas.openxmlformats.org/drawingml/2006/main">
                  <a:graphicData uri="http://schemas.microsoft.com/office/word/2010/wordprocessingShape">
                    <wps:wsp>
                      <wps:cNvSpPr/>
                      <wps:spPr>
                        <a:xfrm>
                          <a:off x="0" y="0"/>
                          <a:ext cx="5719320" cy="1521360"/>
                        </a:xfrm>
                        <a:prstGeom prst="rect">
                          <a:avLst/>
                        </a:prstGeom>
                        <a:solidFill>
                          <a:srgbClr val="C9211E">
                            <a:alpha val="15000"/>
                          </a:srgbClr>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c="http://schemas.openxmlformats.org/drawingml/2006/chart" xmlns:a1611="http://schemas.microsoft.com/office/drawing/2016/11/main" xmlns:a14="http://schemas.microsoft.com/office/drawing/2010/main" xmlns:pic="http://schemas.openxmlformats.org/drawingml/2006/picture" xmlns:a16="http://schemas.microsoft.com/office/drawing/2014/main" xmlns:a="http://schemas.openxmlformats.org/drawingml/2006/main">
            <w:pict w14:anchorId="1C559C0E">
              <v:rect id="Shape2_15" style="position:absolute;margin-left:1.85pt;margin-top:.55pt;width:450.4pt;height:119.85pt;z-index:39;visibility:visible;mso-wrap-style:square;mso-wrap-distance-left:0;mso-wrap-distance-top:0;mso-wrap-distance-right:0;mso-wrap-distance-bottom:0;mso-position-horizontal:absolute;mso-position-horizontal-relative:text;mso-position-vertical:absolute;mso-position-vertical-relative:text;v-text-anchor:top" o:spid="_x0000_s1026" fillcolor="#c9211e" stroked="f" w14:anchorId="501ED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">
                <v:fill opacity="9766f"/>
              </v:rect>
            </w:pict>
          </mc:Fallback>
        </mc:AlternateContent>
      </w:r>
    </w:p>
    <w:p w14:paraId="66FF3D71" w14:textId="77777777" w:rsidR="00086021" w:rsidRDefault="009E19AB">
      <w:pPr>
        <w:pStyle w:val="BodyText"/>
        <w:ind w:left="540" w:right="360"/>
        <w:rPr>
          <w:b/>
          <w:bCs/>
          <w:sz w:val="20"/>
          <w:szCs w:val="20"/>
        </w:rPr>
      </w:pPr>
      <w:r>
        <w:rPr>
          <w:b/>
          <w:bCs/>
          <w:sz w:val="20"/>
          <w:szCs w:val="20"/>
        </w:rPr>
        <w:t>KP and AGYW Services Covered by NHIF</w:t>
      </w:r>
    </w:p>
    <w:p w14:paraId="68E4F9E8" w14:textId="77777777" w:rsidR="00086021" w:rsidRDefault="009E19AB">
      <w:pPr>
        <w:pStyle w:val="BodyText"/>
        <w:ind w:left="540" w:right="360"/>
        <w:rPr>
          <w:sz w:val="20"/>
          <w:szCs w:val="20"/>
        </w:rPr>
      </w:pPr>
      <w:r>
        <w:rPr>
          <w:sz w:val="20"/>
          <w:szCs w:val="20"/>
        </w:rPr>
        <w:t>Reproductive Health: Family Planning, Antenatal Care (ANC), Maternity and Post Natal Care (PNC) up to 6 weeks after delivery and PMTCT. (Linda Mama, Edu Afya, Civil Servants &amp; Supa Cover).</w:t>
      </w:r>
    </w:p>
    <w:p w14:paraId="33541BAA" w14:textId="77777777" w:rsidR="00086021" w:rsidRDefault="009E19AB">
      <w:pPr>
        <w:pStyle w:val="BodyText"/>
        <w:ind w:left="540" w:right="360"/>
        <w:rPr>
          <w:sz w:val="20"/>
          <w:szCs w:val="20"/>
        </w:rPr>
      </w:pPr>
      <w:r>
        <w:rPr>
          <w:sz w:val="20"/>
          <w:szCs w:val="20"/>
        </w:rPr>
        <w:t>Rehabilitation for drugs and substance abuse. (Edu Afya, Civil Servants &amp; Supa Cover Scheme).</w:t>
      </w:r>
    </w:p>
    <w:p w14:paraId="3CB60F31" w14:textId="77777777" w:rsidR="00086021" w:rsidRDefault="00086021">
      <w:pPr>
        <w:pStyle w:val="BodyText"/>
        <w:ind w:left="540" w:right="360"/>
        <w:rPr>
          <w:sz w:val="20"/>
          <w:szCs w:val="20"/>
        </w:rPr>
      </w:pPr>
    </w:p>
    <w:p w14:paraId="2F719AC0" w14:textId="77777777" w:rsidR="00086021" w:rsidRPr="008F6958" w:rsidRDefault="009E19AB">
      <w:pPr>
        <w:pStyle w:val="Figure"/>
        <w:rPr>
          <w:b/>
          <w:bCs/>
          <w:sz w:val="18"/>
          <w:szCs w:val="18"/>
        </w:rPr>
      </w:pPr>
      <w:r w:rsidRPr="008F6958">
        <w:rPr>
          <w:b/>
          <w:bCs/>
          <w:sz w:val="18"/>
          <w:szCs w:val="18"/>
        </w:rPr>
        <w:t>Figure 18: NHIF Performance between FY 2014/15 and FY 2016/17</w:t>
      </w:r>
    </w:p>
    <w:p w14:paraId="344A8A52" w14:textId="77777777" w:rsidR="00086021" w:rsidRDefault="009E19AB">
      <w:pPr>
        <w:pStyle w:val="Figure"/>
      </w:pPr>
      <w:r>
        <w:rPr>
          <w:noProof/>
        </w:rPr>
        <w:drawing>
          <wp:inline distT="0" distB="0" distL="0" distR="0" wp14:anchorId="36710FE0" wp14:editId="2A7ACFC1">
            <wp:extent cx="5688330" cy="2694940"/>
            <wp:effectExtent l="0" t="0" r="0" b="0"/>
            <wp:docPr id="36"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5.png"/>
                    <pic:cNvPicPr>
                      <a:picLocks noChangeAspect="1" noChangeArrowheads="1"/>
                    </pic:cNvPicPr>
                  </pic:nvPicPr>
                  <pic:blipFill>
                    <a:blip r:embed="rId43"/>
                    <a:stretch>
                      <a:fillRect/>
                    </a:stretch>
                  </pic:blipFill>
                  <pic:spPr bwMode="auto">
                    <a:xfrm>
                      <a:off x="0" y="0"/>
                      <a:ext cx="5688330" cy="2694940"/>
                    </a:xfrm>
                    <a:prstGeom prst="rect">
                      <a:avLst/>
                    </a:prstGeom>
                  </pic:spPr>
                </pic:pic>
              </a:graphicData>
            </a:graphic>
          </wp:inline>
        </w:drawing>
      </w:r>
    </w:p>
    <w:p w14:paraId="2AA94C13" w14:textId="77777777" w:rsidR="00086021" w:rsidRDefault="009E19AB">
      <w:pPr>
        <w:pStyle w:val="BodyText"/>
        <w:rPr>
          <w:i/>
          <w:iCs/>
          <w:sz w:val="16"/>
          <w:szCs w:val="16"/>
        </w:rPr>
      </w:pPr>
      <w:r>
        <w:rPr>
          <w:rFonts w:eastAsia="Abadi Extra Light" w:cs="Abadi Extra Light"/>
          <w:i/>
          <w:iCs/>
          <w:sz w:val="16"/>
          <w:szCs w:val="16"/>
          <w:highlight w:val="white"/>
        </w:rPr>
        <w:t>Source:</w:t>
      </w:r>
      <w:r>
        <w:rPr>
          <w:rFonts w:eastAsia="Abadi Extra Light" w:cs="Abadi Extra Light"/>
          <w:i/>
          <w:iCs/>
          <w:sz w:val="16"/>
          <w:szCs w:val="16"/>
        </w:rPr>
        <w:t xml:space="preserve"> Treasury Health Sector Report 2016/17; Auditor General NHIF audit report 2014/15, 2015/16.</w:t>
      </w:r>
    </w:p>
    <w:p w14:paraId="3BD8380A" w14:textId="77777777" w:rsidR="00086021" w:rsidRDefault="009E19AB" w:rsidP="008F6958">
      <w:pPr>
        <w:pStyle w:val="BodyText"/>
        <w:jc w:val="both"/>
        <w:rPr>
          <w:sz w:val="20"/>
          <w:szCs w:val="20"/>
        </w:rPr>
      </w:pPr>
      <w:r>
        <w:rPr>
          <w:rFonts w:eastAsia="Abadi Extra Light" w:cs="Abadi Extra Light"/>
          <w:sz w:val="20"/>
          <w:szCs w:val="20"/>
          <w:highlight w:val="white"/>
        </w:rPr>
        <w:t xml:space="preserve">As depicted in </w:t>
      </w:r>
      <w:r>
        <w:rPr>
          <w:rFonts w:eastAsia="Abadi Extra Light" w:cs="Abadi Extra Light"/>
          <w:sz w:val="20"/>
          <w:szCs w:val="20"/>
        </w:rPr>
        <w:t xml:space="preserve">Figure 18, the </w:t>
      </w:r>
      <w:r>
        <w:rPr>
          <w:rFonts w:eastAsia="Abadi Extra Light" w:cs="Abadi Extra Light"/>
          <w:sz w:val="20"/>
          <w:szCs w:val="20"/>
          <w:highlight w:val="white"/>
        </w:rPr>
        <w:t>premium revenues nearly tripled while claims paid out more than quadrupled between FY 2014/15 and FY 2016/17. The claims paid out as a proportion of the premiums earned (claims payout ratio) between FY 2014/15 and FY 2015/16 (46.5% &amp; 35.9% respectively) were below the internationally acceptable threshold of 50-70%. Further, the administrative costs as a proportion of the premiums earned were consistently high (33.4%, 19.5% and 23.7% respectively); levels higher than the acceptable threshold of 5-7% for public health insurance systems (Carrin &amp; James, 2005).</w:t>
      </w:r>
    </w:p>
    <w:p w14:paraId="70EAA7E1" w14:textId="77777777" w:rsidR="00086021" w:rsidRDefault="009E19AB">
      <w:pPr>
        <w:pStyle w:val="BodyText"/>
        <w:rPr>
          <w:rFonts w:eastAsia="Abadi Extra Light" w:cs="Abadi Extra Light"/>
          <w:sz w:val="20"/>
          <w:szCs w:val="20"/>
          <w:highlight w:val="white"/>
        </w:rPr>
      </w:pPr>
      <w:r>
        <w:rPr>
          <w:rFonts w:eastAsia="Abadi Extra Light" w:cs="Abadi Extra Light"/>
          <w:noProof/>
          <w:sz w:val="20"/>
          <w:szCs w:val="20"/>
          <w:highlight w:val="white"/>
        </w:rPr>
        <mc:AlternateContent>
          <mc:Choice Requires="wps">
            <w:drawing>
              <wp:anchor distT="0" distB="0" distL="0" distR="0" simplePos="0" relativeHeight="37" behindDoc="1" locked="0" layoutInCell="1" allowOverlap="1" wp14:anchorId="4480EE9D" wp14:editId="38680B73">
                <wp:simplePos x="0" y="0"/>
                <wp:positionH relativeFrom="column">
                  <wp:posOffset>42545</wp:posOffset>
                </wp:positionH>
                <wp:positionV relativeFrom="paragraph">
                  <wp:posOffset>29845</wp:posOffset>
                </wp:positionV>
                <wp:extent cx="5720080" cy="1925320"/>
                <wp:effectExtent l="0" t="0" r="0" b="0"/>
                <wp:wrapNone/>
                <wp:docPr id="37" name="Shape2_16"/>
                <wp:cNvGraphicFramePr/>
                <a:graphic xmlns:a="http://schemas.openxmlformats.org/drawingml/2006/main">
                  <a:graphicData uri="http://schemas.microsoft.com/office/word/2010/wordprocessingShape">
                    <wps:wsp>
                      <wps:cNvSpPr/>
                      <wps:spPr>
                        <a:xfrm>
                          <a:off x="0" y="0"/>
                          <a:ext cx="5719320" cy="1924560"/>
                        </a:xfrm>
                        <a:prstGeom prst="rect">
                          <a:avLst/>
                        </a:prstGeom>
                        <a:solidFill>
                          <a:srgbClr val="C9211E">
                            <a:alpha val="15000"/>
                          </a:srgbClr>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655B2D79" id="Shape2_16" o:spid="_x0000_s1026" style="position:absolute;margin-left:3.35pt;margin-top:2.35pt;width:450.4pt;height:151.6pt;z-index:-503316443;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" fillcolor="#c9211e" stroked="f">
                <v:fill opacity="9766f"/>
              </v:rect>
            </w:pict>
          </mc:Fallback>
        </mc:AlternateContent>
      </w:r>
    </w:p>
    <w:p w14:paraId="7537512E" w14:textId="77777777" w:rsidR="00086021" w:rsidRDefault="009E19AB">
      <w:pPr>
        <w:pStyle w:val="BodyText"/>
        <w:ind w:left="540" w:right="360"/>
        <w:rPr>
          <w:b/>
          <w:bCs/>
          <w:sz w:val="20"/>
          <w:szCs w:val="20"/>
        </w:rPr>
      </w:pPr>
      <w:r>
        <w:rPr>
          <w:b/>
          <w:bCs/>
          <w:sz w:val="20"/>
          <w:szCs w:val="20"/>
        </w:rPr>
        <w:t>Advocacy Opportunity for Efficiency in NHIF.</w:t>
      </w:r>
    </w:p>
    <w:p w14:paraId="66324805" w14:textId="77777777" w:rsidR="00086021" w:rsidRDefault="009E19AB" w:rsidP="00317575">
      <w:pPr>
        <w:pStyle w:val="BodyText"/>
        <w:ind w:left="540" w:right="360"/>
        <w:jc w:val="both"/>
        <w:rPr>
          <w:rFonts w:eastAsia="Abadi Extra Light" w:cs="Abadi Extra Light"/>
          <w:sz w:val="20"/>
          <w:szCs w:val="20"/>
        </w:rPr>
      </w:pPr>
      <w:r>
        <w:rPr>
          <w:rFonts w:eastAsia="Abadi Extra Light" w:cs="Abadi Extra Light"/>
          <w:sz w:val="20"/>
          <w:szCs w:val="20"/>
        </w:rPr>
        <w:t>The low claims-payout ratio below the 50% threshold may imply limited value afforded to the policy holders hence an opportunity for continued advocacy for increased payouts for patient care by NHIF.</w:t>
      </w:r>
    </w:p>
    <w:p w14:paraId="3201E0D4" w14:textId="77777777" w:rsidR="00086021" w:rsidRDefault="009E19AB" w:rsidP="00317575">
      <w:pPr>
        <w:pStyle w:val="BodyText"/>
        <w:ind w:left="540" w:right="360"/>
        <w:jc w:val="both"/>
        <w:rPr>
          <w:rFonts w:eastAsia="Abadi Extra Light" w:cs="Abadi Extra Light"/>
          <w:sz w:val="20"/>
          <w:szCs w:val="20"/>
          <w:highlight w:val="white"/>
        </w:rPr>
      </w:pPr>
      <w:r w:rsidRPr="00317575">
        <w:rPr>
          <w:rFonts w:eastAsia="Abadi Extra Light" w:cs="Abadi Extra Light"/>
          <w:sz w:val="20"/>
          <w:szCs w:val="20"/>
        </w:rPr>
        <w:t>The persistently high administrative costs above the 5-7% threshold may imply administrative inefficiencies within the national health insurance agency hence an opportunity for advocacy for more accountability and business process improvements within NHIF.</w:t>
      </w:r>
      <w:r>
        <w:br w:type="page"/>
      </w:r>
    </w:p>
    <w:p w14:paraId="0D1AE5E8" w14:textId="77777777" w:rsidR="00086021" w:rsidRDefault="009E19AB">
      <w:pPr>
        <w:pStyle w:val="BodyText"/>
        <w:rPr>
          <w:b/>
          <w:bCs/>
          <w:sz w:val="20"/>
          <w:szCs w:val="20"/>
        </w:rPr>
      </w:pPr>
      <w:bookmarkStart w:id="29" w:name="_Toc56997947"/>
      <w:r>
        <w:rPr>
          <w:b/>
          <w:bCs/>
          <w:sz w:val="20"/>
          <w:szCs w:val="20"/>
        </w:rPr>
        <w:lastRenderedPageBreak/>
        <w:t>b) Private Insurance</w:t>
      </w:r>
      <w:bookmarkEnd w:id="29"/>
    </w:p>
    <w:p w14:paraId="5BF2B44B" w14:textId="685DD660" w:rsidR="00086021" w:rsidRDefault="009E19AB" w:rsidP="008F6958">
      <w:pPr>
        <w:pStyle w:val="BodyText"/>
        <w:jc w:val="both"/>
        <w:rPr>
          <w:rFonts w:eastAsia="Abadi Extra Light" w:cs="Abadi Extra Light"/>
          <w:sz w:val="20"/>
          <w:szCs w:val="20"/>
        </w:rPr>
      </w:pPr>
      <w:r>
        <w:rPr>
          <w:rFonts w:eastAsia="Abadi Extra Light" w:cs="Abadi Extra Light"/>
          <w:sz w:val="20"/>
          <w:szCs w:val="20"/>
          <w:highlight w:val="white"/>
        </w:rPr>
        <w:t>In Kenya, there were 31 private health insurance providers registered by the Insurance Regulatory Authority in Kenya in 2018 (IRA, 2019). Private insurance accounted for 2-4% (Health Financing Project, 2016; Barasa Edwine, Rogo Khama, Mwaura Njeri, Chuma Jane, 2016)</w:t>
      </w:r>
      <w:r>
        <w:rPr>
          <w:rFonts w:eastAsia="Abadi Extra Light" w:cs="Abadi Extra Light"/>
          <w:sz w:val="20"/>
          <w:szCs w:val="20"/>
        </w:rPr>
        <w:t xml:space="preserve">. Contributions to private health insurance are mostly non-regulated with different companies charging different rates based on their risk assessment. These rates are unlikely to be progressive. </w:t>
      </w:r>
    </w:p>
    <w:p w14:paraId="72F61BFB" w14:textId="77777777" w:rsidR="008F6958" w:rsidRDefault="008F6958" w:rsidP="008F6958">
      <w:pPr>
        <w:pStyle w:val="BodyText"/>
        <w:jc w:val="both"/>
        <w:rPr>
          <w:sz w:val="20"/>
          <w:szCs w:val="20"/>
        </w:rPr>
      </w:pPr>
    </w:p>
    <w:p w14:paraId="08FB983C" w14:textId="77777777" w:rsidR="00086021" w:rsidRDefault="009E19AB">
      <w:pPr>
        <w:pStyle w:val="Quote"/>
        <w:rPr>
          <w:color w:val="C9211E"/>
        </w:rPr>
      </w:pPr>
      <w:r>
        <w:rPr>
          <w:rFonts w:eastAsia="Abadi Extra Light" w:cs="Abadi Extra Light"/>
          <w:color w:val="C9211E"/>
        </w:rPr>
        <w:t xml:space="preserve">“For individuals, private health insurance firms often …. fail to cover people with chronic conditions or when they do, the premiums are unaffordable, the result being poorer households opting for more basic and, hence, cheaper packages.” – </w:t>
      </w:r>
      <w:r>
        <w:rPr>
          <w:rFonts w:eastAsia="Abadi Extra Light" w:cs="Abadi Extra Light"/>
          <w:i/>
          <w:iCs/>
          <w:color w:val="C9211E"/>
        </w:rPr>
        <w:t>Okech, 2014</w:t>
      </w:r>
    </w:p>
    <w:p w14:paraId="370BFA5B" w14:textId="77777777" w:rsidR="00086021" w:rsidRDefault="00086021">
      <w:pPr>
        <w:rPr>
          <w:rFonts w:eastAsia="Abadi Extra Light" w:cs="Abadi Extra Light"/>
          <w:i/>
          <w:iCs/>
          <w:color w:val="C9211E"/>
        </w:rPr>
      </w:pPr>
    </w:p>
    <w:p w14:paraId="6190569D" w14:textId="77777777" w:rsidR="00086021" w:rsidRPr="008F6958" w:rsidRDefault="009E19AB">
      <w:pPr>
        <w:pStyle w:val="Figure"/>
        <w:rPr>
          <w:b/>
          <w:bCs/>
          <w:sz w:val="18"/>
          <w:szCs w:val="18"/>
        </w:rPr>
      </w:pPr>
      <w:r w:rsidRPr="008F6958">
        <w:rPr>
          <w:b/>
          <w:bCs/>
          <w:sz w:val="18"/>
          <w:szCs w:val="18"/>
        </w:rPr>
        <w:t>Figure 19: 5yr Financial Performance of Private Health Insurance in Kenya</w:t>
      </w:r>
    </w:p>
    <w:p w14:paraId="7957B1E7" w14:textId="02C5F9ED" w:rsidR="00086021" w:rsidRDefault="00317575">
      <w:pPr>
        <w:pStyle w:val="Figure"/>
      </w:pPr>
      <w:r>
        <w:rPr>
          <w:noProof/>
        </w:rPr>
        <mc:AlternateContent>
          <mc:Choice Requires="wps">
            <w:drawing>
              <wp:anchor distT="0" distB="0" distL="114300" distR="114300" simplePos="0" relativeHeight="251664384" behindDoc="0" locked="0" layoutInCell="1" allowOverlap="1" wp14:anchorId="0011B305" wp14:editId="73B432F4">
                <wp:simplePos x="0" y="0"/>
                <wp:positionH relativeFrom="column">
                  <wp:posOffset>971550</wp:posOffset>
                </wp:positionH>
                <wp:positionV relativeFrom="paragraph">
                  <wp:posOffset>781685</wp:posOffset>
                </wp:positionV>
                <wp:extent cx="1473200" cy="188686"/>
                <wp:effectExtent l="0" t="0" r="0" b="1905"/>
                <wp:wrapNone/>
                <wp:docPr id="76" name="Text Box 76"/>
                <wp:cNvGraphicFramePr/>
                <a:graphic xmlns:a="http://schemas.openxmlformats.org/drawingml/2006/main">
                  <a:graphicData uri="http://schemas.microsoft.com/office/word/2010/wordprocessingShape">
                    <wps:wsp>
                      <wps:cNvSpPr txBox="1"/>
                      <wps:spPr>
                        <a:xfrm>
                          <a:off x="0" y="0"/>
                          <a:ext cx="1473200" cy="188686"/>
                        </a:xfrm>
                        <a:prstGeom prst="rect">
                          <a:avLst/>
                        </a:prstGeom>
                        <a:noFill/>
                        <a:ln w="6350">
                          <a:noFill/>
                        </a:ln>
                      </wps:spPr>
                      <wps:txbx>
                        <w:txbxContent>
                          <w:p w14:paraId="2B93C6FB" w14:textId="77777777" w:rsidR="00317575" w:rsidRPr="00E432E5" w:rsidRDefault="00317575" w:rsidP="00317575">
                            <w:pPr>
                              <w:rPr>
                                <w:sz w:val="14"/>
                                <w:szCs w:val="14"/>
                              </w:rPr>
                            </w:pPr>
                            <w:r w:rsidRPr="00E432E5">
                              <w:rPr>
                                <w:sz w:val="14"/>
                                <w:szCs w:val="14"/>
                              </w:rPr>
                              <w:t>Claims Ratio Upper Limit</w:t>
                            </w:r>
                            <w:r>
                              <w:rPr>
                                <w:sz w:val="14"/>
                                <w:szCs w:val="14"/>
                              </w:rPr>
                              <w:t xml:space="preserve"> (70 %)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1B305" id="Text Box 76" o:spid="_x0000_s1028" type="#_x0000_t202" style="position:absolute;margin-left:76.5pt;margin-top:61.55pt;width:116pt;height:14.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" filled="f" stroked="f" strokeweight=".5pt">
                <v:textbox>
                  <w:txbxContent>
                    <w:p w14:paraId="2B93C6FB" w14:textId="77777777" w:rsidR="00317575" w:rsidRPr="00E432E5" w:rsidRDefault="00317575" w:rsidP="00317575">
                      <w:pPr>
                        <w:rPr>
                          <w:sz w:val="14"/>
                          <w:szCs w:val="14"/>
                        </w:rPr>
                      </w:pPr>
                      <w:r w:rsidRPr="00E432E5">
                        <w:rPr>
                          <w:sz w:val="14"/>
                          <w:szCs w:val="14"/>
                        </w:rPr>
                        <w:t>Claims Ratio Upper Limit</w:t>
                      </w:r>
                      <w:r>
                        <w:rPr>
                          <w:sz w:val="14"/>
                          <w:szCs w:val="14"/>
                        </w:rPr>
                        <w:t xml:space="preserve"> (70 %)</w:t>
                      </w:r>
                    </w:p>
                  </w:txbxContent>
                </v:textbox>
              </v:shape>
            </w:pict>
          </mc:Fallback>
        </mc:AlternateContent>
      </w:r>
      <w:r w:rsidRPr="00E432E5">
        <w:rPr>
          <w:noProof/>
          <w:color w:val="000000" w:themeColor="text1"/>
        </w:rPr>
        <w:drawing>
          <wp:inline distT="0" distB="0" distL="0" distR="0" wp14:anchorId="39042F82" wp14:editId="22877448">
            <wp:extent cx="5829300" cy="3009900"/>
            <wp:effectExtent l="0" t="0" r="0" b="0"/>
            <wp:docPr id="75" name="Chart 75">
              <a:extLst xmlns:a="http://schemas.openxmlformats.org/drawingml/2006/main">
                <a:ext uri="{FF2B5EF4-FFF2-40B4-BE49-F238E27FC236}">
                  <a16:creationId xmlns:a16="http://schemas.microsoft.com/office/drawing/2014/main" id="{0D705806-68FC-4BC7-81EA-AAA18035E9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1B4E840" w14:textId="77777777" w:rsidR="00086021" w:rsidRDefault="009E19AB">
      <w:pPr>
        <w:pStyle w:val="BodyText"/>
        <w:rPr>
          <w:i/>
          <w:iCs/>
          <w:sz w:val="16"/>
          <w:szCs w:val="16"/>
        </w:rPr>
      </w:pPr>
      <w:r>
        <w:rPr>
          <w:i/>
          <w:iCs/>
          <w:sz w:val="16"/>
          <w:szCs w:val="16"/>
        </w:rPr>
        <w:t>Source: Insurance Regulatory Authority, 2019</w:t>
      </w:r>
    </w:p>
    <w:p w14:paraId="343EAFF3" w14:textId="77777777" w:rsidR="00086021" w:rsidRDefault="00086021">
      <w:pPr>
        <w:pStyle w:val="BodyText"/>
        <w:rPr>
          <w:i/>
          <w:iCs/>
          <w:sz w:val="16"/>
          <w:szCs w:val="16"/>
        </w:rPr>
      </w:pPr>
    </w:p>
    <w:p w14:paraId="63F0C8CE" w14:textId="46B81825" w:rsidR="00086021" w:rsidRDefault="009E19AB" w:rsidP="008F6958">
      <w:pPr>
        <w:pStyle w:val="BodyText"/>
        <w:jc w:val="both"/>
        <w:rPr>
          <w:sz w:val="20"/>
          <w:szCs w:val="20"/>
        </w:rPr>
      </w:pPr>
      <w:r>
        <w:rPr>
          <w:sz w:val="20"/>
          <w:szCs w:val="20"/>
        </w:rPr>
        <w:t>There has been a steady rise in spending on private health insurance in Kenya between 2014 and 2018 with an increase in both the premiums collected and medical claims incurred by private medical insurers as shown in Figure 19. The claims-payout ratio for private medical insurance has remained significantly high over the five-year period. Additionally, the medical insurance sector recorded significant losses over the five-year period.</w:t>
      </w:r>
    </w:p>
    <w:p w14:paraId="1F831437" w14:textId="77777777" w:rsidR="0055011C" w:rsidRDefault="0055011C" w:rsidP="008F6958">
      <w:pPr>
        <w:pStyle w:val="BodyText"/>
        <w:jc w:val="both"/>
        <w:rPr>
          <w:sz w:val="20"/>
          <w:szCs w:val="20"/>
        </w:rPr>
      </w:pPr>
    </w:p>
    <w:p w14:paraId="27546446" w14:textId="77777777" w:rsidR="00086021" w:rsidRDefault="009E19AB" w:rsidP="008F6958">
      <w:pPr>
        <w:pStyle w:val="BodyText"/>
        <w:jc w:val="both"/>
        <w:rPr>
          <w:b/>
          <w:bCs/>
          <w:sz w:val="20"/>
          <w:szCs w:val="20"/>
        </w:rPr>
      </w:pPr>
      <w:bookmarkStart w:id="30" w:name="_Toc56997948"/>
      <w:r>
        <w:rPr>
          <w:b/>
          <w:bCs/>
          <w:sz w:val="20"/>
          <w:szCs w:val="20"/>
        </w:rPr>
        <w:t>c) Community Based Health Insurance Schemes (CBHIS)</w:t>
      </w:r>
      <w:bookmarkEnd w:id="30"/>
    </w:p>
    <w:p w14:paraId="062179D5" w14:textId="6313B260" w:rsidR="0055011C" w:rsidRDefault="009E19AB" w:rsidP="008F6958">
      <w:pPr>
        <w:pStyle w:val="BodyText"/>
        <w:jc w:val="both"/>
        <w:rPr>
          <w:sz w:val="20"/>
          <w:szCs w:val="20"/>
        </w:rPr>
      </w:pPr>
      <w:r>
        <w:rPr>
          <w:sz w:val="20"/>
          <w:szCs w:val="20"/>
        </w:rPr>
        <w:t xml:space="preserve">CBHIS have been in operation mainly in rural and informal populations in Kenya. Their operations have however, been limited in nature and differ significantly from one scheme to another (Okech, 2014). </w:t>
      </w:r>
    </w:p>
    <w:p w14:paraId="6F4050C9" w14:textId="376E0EB0" w:rsidR="00086021" w:rsidRDefault="009E19AB" w:rsidP="008F6958">
      <w:pPr>
        <w:pStyle w:val="BodyText"/>
        <w:jc w:val="both"/>
        <w:rPr>
          <w:sz w:val="20"/>
          <w:szCs w:val="20"/>
        </w:rPr>
      </w:pPr>
      <w:r>
        <w:rPr>
          <w:sz w:val="20"/>
          <w:szCs w:val="20"/>
        </w:rPr>
        <w:t>With financial support from the German government, the Ministry of Health implemented the Output Based Approach (OBA) voucher project since the year 2006. The project was aimed at providing subsidized vouchers to poor populations in the counties of Kisumu, Kilifi, Kiambu, Kitui and Nairobi’s informal settlements of Korogocho and Viwandani to access health care and maternal care services at designated facilities (Ministry of Health, 2016).</w:t>
      </w:r>
      <w:r w:rsidR="002B20CA">
        <w:rPr>
          <w:sz w:val="20"/>
          <w:szCs w:val="20"/>
        </w:rPr>
        <w:t xml:space="preserve"> </w:t>
      </w:r>
      <w:r>
        <w:rPr>
          <w:sz w:val="20"/>
          <w:szCs w:val="20"/>
        </w:rPr>
        <w:t xml:space="preserve">There is no policy governing the operations of CBHIs in Kenya in terms of operation, </w:t>
      </w:r>
      <w:proofErr w:type="gramStart"/>
      <w:r>
        <w:rPr>
          <w:sz w:val="20"/>
          <w:szCs w:val="20"/>
        </w:rPr>
        <w:t>quality</w:t>
      </w:r>
      <w:proofErr w:type="gramEnd"/>
      <w:r>
        <w:rPr>
          <w:sz w:val="20"/>
          <w:szCs w:val="20"/>
        </w:rPr>
        <w:t xml:space="preserve"> and benefit package (Okech, 2014). </w:t>
      </w:r>
    </w:p>
    <w:p w14:paraId="11681886" w14:textId="77777777" w:rsidR="00086021" w:rsidRDefault="009E19AB" w:rsidP="008F6958">
      <w:pPr>
        <w:pStyle w:val="BodyText"/>
        <w:jc w:val="both"/>
        <w:rPr>
          <w:sz w:val="20"/>
          <w:szCs w:val="20"/>
        </w:rPr>
      </w:pPr>
      <w:bookmarkStart w:id="31" w:name="_Toc56997949"/>
      <w:r>
        <w:rPr>
          <w:b/>
          <w:bCs/>
          <w:sz w:val="20"/>
          <w:szCs w:val="20"/>
        </w:rPr>
        <w:lastRenderedPageBreak/>
        <w:t>d) Tax Based Financing</w:t>
      </w:r>
      <w:bookmarkEnd w:id="31"/>
      <w:r>
        <w:rPr>
          <w:sz w:val="20"/>
          <w:szCs w:val="20"/>
        </w:rPr>
        <w:t xml:space="preserve"> </w:t>
      </w:r>
    </w:p>
    <w:p w14:paraId="61817690" w14:textId="77777777" w:rsidR="00086021" w:rsidRDefault="009E19AB" w:rsidP="008F6958">
      <w:pPr>
        <w:pStyle w:val="BodyText"/>
        <w:jc w:val="both"/>
        <w:rPr>
          <w:sz w:val="20"/>
          <w:szCs w:val="20"/>
        </w:rPr>
      </w:pPr>
      <w:r>
        <w:rPr>
          <w:sz w:val="20"/>
          <w:szCs w:val="20"/>
        </w:rPr>
        <w:t>Universal Health Coverage as envisioned by the current government of Kenya, has adopted this model as a way of financing access to healthcare in Kenya.</w:t>
      </w:r>
    </w:p>
    <w:p w14:paraId="3EAE60C2" w14:textId="77777777" w:rsidR="00086021" w:rsidRDefault="009E19AB">
      <w:pPr>
        <w:pStyle w:val="Quote"/>
        <w:rPr>
          <w:rFonts w:eastAsia="Abadi Extra Light" w:cs="Abadi Extra Light"/>
          <w:color w:val="C9211E"/>
          <w:sz w:val="20"/>
          <w:szCs w:val="20"/>
        </w:rPr>
      </w:pPr>
      <w:r>
        <w:rPr>
          <w:rFonts w:eastAsia="Abadi Extra Light" w:cs="Abadi Extra Light"/>
          <w:color w:val="C9211E"/>
          <w:sz w:val="20"/>
          <w:szCs w:val="20"/>
        </w:rPr>
        <w:t xml:space="preserve">“Increased government spending through tax-based financing and social health insurance (SHI) have played a dominant role in most countries which have advanced greatly towards achieving UHC.”  - Oxfam, 2013 </w:t>
      </w:r>
    </w:p>
    <w:p w14:paraId="42C2C246" w14:textId="77777777" w:rsidR="00086021" w:rsidRDefault="00086021">
      <w:pPr>
        <w:pStyle w:val="BodyText"/>
        <w:rPr>
          <w:rFonts w:eastAsia="Abadi Extra Light" w:cs="Abadi Extra Light"/>
          <w:b/>
          <w:bCs/>
          <w:color w:val="C9211E"/>
          <w:sz w:val="20"/>
          <w:szCs w:val="20"/>
        </w:rPr>
      </w:pPr>
    </w:p>
    <w:p w14:paraId="44A3E26D" w14:textId="77777777" w:rsidR="00086021" w:rsidRDefault="009E19AB" w:rsidP="0055011C">
      <w:pPr>
        <w:pStyle w:val="BodyText"/>
        <w:jc w:val="both"/>
        <w:rPr>
          <w:b/>
          <w:bCs/>
          <w:sz w:val="20"/>
          <w:szCs w:val="20"/>
        </w:rPr>
      </w:pPr>
      <w:r>
        <w:rPr>
          <w:b/>
          <w:bCs/>
          <w:sz w:val="20"/>
          <w:szCs w:val="20"/>
        </w:rPr>
        <w:t>Pooling Mechanisms for AGYW and KP Services</w:t>
      </w:r>
    </w:p>
    <w:p w14:paraId="5E32581F" w14:textId="77777777" w:rsidR="00086021" w:rsidRDefault="009E19AB" w:rsidP="0055011C">
      <w:pPr>
        <w:pStyle w:val="BodyText"/>
        <w:jc w:val="both"/>
        <w:rPr>
          <w:sz w:val="20"/>
          <w:szCs w:val="20"/>
        </w:rPr>
      </w:pPr>
      <w:r>
        <w:rPr>
          <w:sz w:val="20"/>
          <w:szCs w:val="20"/>
        </w:rPr>
        <w:t>Currently, neither the NHIF nor private health insurance schemes provide HIV/AIDS, or KP specific cover except for opportunistic infections, rehabilitation and reproductive health services which are within the general terms. Noteworthy, HIV treatment remains a major exclusion for most insurance providers.</w:t>
      </w:r>
    </w:p>
    <w:p w14:paraId="4C6B8603" w14:textId="77777777" w:rsidR="00086021" w:rsidRDefault="009E19AB" w:rsidP="0055011C">
      <w:pPr>
        <w:pStyle w:val="BodyText"/>
        <w:jc w:val="both"/>
        <w:rPr>
          <w:sz w:val="20"/>
          <w:szCs w:val="20"/>
        </w:rPr>
      </w:pPr>
      <w:r>
        <w:rPr>
          <w:sz w:val="20"/>
          <w:szCs w:val="20"/>
        </w:rPr>
        <w:t xml:space="preserve">The Kenya AIDS Strategic Framework 2014/15-2018/19 envisioned the establishment of a separate HIV Trust/ Investment Fund, housed under the National AIDS Control Council (NACC), to implement innovative financing mechanisms to draw new resources that would be ring-fenced for high priority areas, </w:t>
      </w:r>
      <w:proofErr w:type="gramStart"/>
      <w:r>
        <w:rPr>
          <w:sz w:val="20"/>
          <w:szCs w:val="20"/>
        </w:rPr>
        <w:t>interventions</w:t>
      </w:r>
      <w:proofErr w:type="gramEnd"/>
      <w:r>
        <w:rPr>
          <w:sz w:val="20"/>
          <w:szCs w:val="20"/>
        </w:rPr>
        <w:t xml:space="preserve"> and underfunded areas. The fund would subsidize Government liability in HIV investment and Prevention costs hence facilitate Kenya’s drive towards Universal Health Coverage (MOH, 2014). This fund is yet to be operationalized.</w:t>
      </w:r>
    </w:p>
    <w:p w14:paraId="5400F861" w14:textId="77777777" w:rsidR="00086021" w:rsidRDefault="00086021">
      <w:pPr>
        <w:pStyle w:val="BodyText"/>
      </w:pPr>
    </w:p>
    <w:p w14:paraId="44459288" w14:textId="77777777" w:rsidR="00086021" w:rsidRDefault="009E19AB">
      <w:pPr>
        <w:pStyle w:val="Quote"/>
        <w:rPr>
          <w:rFonts w:eastAsia="Abadi Extra Light" w:cs="Abadi Extra Light"/>
          <w:color w:val="C9211E"/>
          <w:sz w:val="20"/>
          <w:szCs w:val="20"/>
        </w:rPr>
      </w:pPr>
      <w:r>
        <w:rPr>
          <w:rFonts w:eastAsia="Abadi Extra Light" w:cs="Abadi Extra Light"/>
          <w:color w:val="C9211E"/>
          <w:sz w:val="20"/>
          <w:szCs w:val="20"/>
        </w:rPr>
        <w:t>“…. only 14.6% of women between ages 15–49 years had health insurance by 2014.” - KDHS, 2014</w:t>
      </w:r>
    </w:p>
    <w:p w14:paraId="3C133776" w14:textId="6D7678B5" w:rsidR="00086021" w:rsidRDefault="002B20CA">
      <w:pPr>
        <w:rPr>
          <w:rFonts w:eastAsia="Abadi Extra Light" w:cs="Abadi Extra Light"/>
          <w:color w:val="C9211E"/>
          <w:sz w:val="20"/>
          <w:szCs w:val="20"/>
        </w:rPr>
      </w:pPr>
      <w:r>
        <w:rPr>
          <w:rFonts w:eastAsia="Abadi Extra Light" w:cs="Abadi Extra Light"/>
          <w:noProof/>
          <w:color w:val="C9211E"/>
          <w:sz w:val="20"/>
          <w:szCs w:val="20"/>
        </w:rPr>
        <mc:AlternateContent>
          <mc:Choice Requires="wps">
            <w:drawing>
              <wp:anchor distT="0" distB="0" distL="0" distR="0" simplePos="0" relativeHeight="43" behindDoc="1" locked="0" layoutInCell="1" allowOverlap="1" wp14:anchorId="5795A0FA" wp14:editId="7501BB53">
                <wp:simplePos x="0" y="0"/>
                <wp:positionH relativeFrom="margin">
                  <wp:align>right</wp:align>
                </wp:positionH>
                <wp:positionV relativeFrom="paragraph">
                  <wp:posOffset>163195</wp:posOffset>
                </wp:positionV>
                <wp:extent cx="5861050" cy="1818640"/>
                <wp:effectExtent l="0" t="0" r="6350" b="0"/>
                <wp:wrapNone/>
                <wp:docPr id="39" name="Shape2_17"/>
                <wp:cNvGraphicFramePr/>
                <a:graphic xmlns:a="http://schemas.openxmlformats.org/drawingml/2006/main">
                  <a:graphicData uri="http://schemas.microsoft.com/office/word/2010/wordprocessingShape">
                    <wps:wsp>
                      <wps:cNvSpPr/>
                      <wps:spPr>
                        <a:xfrm>
                          <a:off x="0" y="0"/>
                          <a:ext cx="5861050" cy="1818640"/>
                        </a:xfrm>
                        <a:prstGeom prst="rect">
                          <a:avLst/>
                        </a:prstGeom>
                        <a:solidFill>
                          <a:srgbClr val="C9211E">
                            <a:alpha val="15000"/>
                          </a:srgbClr>
                        </a:solidFill>
                        <a:ln>
                          <a:noFill/>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anchor>
            </w:drawing>
          </mc:Choice>
          <mc:Fallback>
            <w:pict>
              <v:rect w14:anchorId="58CCBA03" id="Shape2_17" o:spid="_x0000_s1026" style="position:absolute;margin-left:410.3pt;margin-top:12.85pt;width:461.5pt;height:143.2pt;z-index:-503316437;visibility:visible;mso-wrap-style:square;mso-width-percent:0;mso-wrap-distance-left:0;mso-wrap-distance-top:0;mso-wrap-distance-right:0;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" fillcolor="#c9211e" stroked="f">
                <v:fill opacity="9766f"/>
                <w10:wrap anchorx="margin"/>
              </v:rect>
            </w:pict>
          </mc:Fallback>
        </mc:AlternateContent>
      </w:r>
    </w:p>
    <w:p w14:paraId="48436B5B" w14:textId="23757E2E" w:rsidR="00086021" w:rsidRDefault="00086021">
      <w:pPr>
        <w:rPr>
          <w:rFonts w:eastAsia="Abadi Extra Light" w:cs="Abadi Extra Light"/>
          <w:color w:val="C9211E"/>
          <w:sz w:val="20"/>
          <w:szCs w:val="20"/>
        </w:rPr>
      </w:pPr>
    </w:p>
    <w:p w14:paraId="5D7A5275" w14:textId="77777777" w:rsidR="00086021" w:rsidRDefault="009E19AB">
      <w:pPr>
        <w:pStyle w:val="BodyText"/>
        <w:ind w:left="540" w:right="360"/>
        <w:rPr>
          <w:b/>
          <w:bCs/>
          <w:sz w:val="24"/>
        </w:rPr>
      </w:pPr>
      <w:r>
        <w:rPr>
          <w:b/>
          <w:bCs/>
          <w:sz w:val="24"/>
        </w:rPr>
        <w:t>Advocacy Opportunity for Effective Pooling for KPs and AGYW</w:t>
      </w:r>
    </w:p>
    <w:p w14:paraId="38BA2886" w14:textId="77777777" w:rsidR="00086021" w:rsidRDefault="009E19AB" w:rsidP="002B20CA">
      <w:pPr>
        <w:pStyle w:val="BodyText"/>
        <w:ind w:left="540" w:right="360"/>
        <w:jc w:val="both"/>
        <w:rPr>
          <w:sz w:val="20"/>
          <w:szCs w:val="20"/>
        </w:rPr>
      </w:pPr>
      <w:r>
        <w:rPr>
          <w:sz w:val="20"/>
          <w:szCs w:val="20"/>
        </w:rPr>
        <w:t>The delay in operationalization of the HIV Investment Fund may present an opportunity for advocacy for its implementation and integration of the fund within the UHC agenda rather than independent implementation. Integration would ensure maximization of efficiencies of pool consolidation rather than fragmentation.</w:t>
      </w:r>
    </w:p>
    <w:p w14:paraId="58B1643C" w14:textId="77777777" w:rsidR="00086021" w:rsidRDefault="009E19AB" w:rsidP="002B20CA">
      <w:pPr>
        <w:pStyle w:val="BodyText"/>
        <w:ind w:left="540" w:right="360"/>
        <w:jc w:val="both"/>
        <w:rPr>
          <w:rFonts w:eastAsia="Abadi Extra Light" w:cs="Abadi Extra Light"/>
          <w:sz w:val="20"/>
          <w:szCs w:val="20"/>
        </w:rPr>
      </w:pPr>
      <w:r>
        <w:rPr>
          <w:rFonts w:eastAsia="Abadi Extra Light" w:cs="Abadi Extra Light"/>
          <w:sz w:val="20"/>
          <w:szCs w:val="20"/>
        </w:rPr>
        <w:t>The low insurance coverage in general, and specifically amongst the poor, rural communities and women aged between 15 and 45 years, provides an opportunity for advocacy for aggressive and targeted NHIF recruitment.</w:t>
      </w:r>
    </w:p>
    <w:p w14:paraId="285F3D8C" w14:textId="77777777" w:rsidR="00086021" w:rsidRDefault="00086021">
      <w:pPr>
        <w:pStyle w:val="BodyText"/>
        <w:ind w:left="540" w:right="360"/>
        <w:rPr>
          <w:rFonts w:eastAsia="Abadi Extra Light" w:cs="Abadi Extra Light"/>
          <w:sz w:val="20"/>
          <w:szCs w:val="20"/>
        </w:rPr>
      </w:pPr>
    </w:p>
    <w:p w14:paraId="68C8DEFA" w14:textId="77777777" w:rsidR="00086021" w:rsidRDefault="009E19AB">
      <w:pPr>
        <w:pStyle w:val="Heading4"/>
      </w:pPr>
      <w:bookmarkStart w:id="32" w:name="_Toc56997950"/>
      <w:r>
        <w:t>3.2.4. Purchasing Arrangements in Kenya</w:t>
      </w:r>
      <w:bookmarkEnd w:id="32"/>
    </w:p>
    <w:p w14:paraId="7D1F02B8" w14:textId="77777777" w:rsidR="00086021" w:rsidRDefault="00086021"/>
    <w:p w14:paraId="29B84E3F" w14:textId="77777777" w:rsidR="00086021" w:rsidRDefault="009E19AB" w:rsidP="0055011C">
      <w:pPr>
        <w:pStyle w:val="BodyText"/>
        <w:jc w:val="both"/>
        <w:rPr>
          <w:sz w:val="20"/>
          <w:szCs w:val="20"/>
        </w:rPr>
      </w:pPr>
      <w:r>
        <w:rPr>
          <w:rFonts w:eastAsia="Abadi Extra Light" w:cs="Abadi Extra Light"/>
          <w:sz w:val="20"/>
          <w:szCs w:val="20"/>
        </w:rPr>
        <w:t xml:space="preserve">Purchasing of healthcare in Kenya is predominantly centralized through Kenya Medical Supplies Authority (KEMSA) for the public sector and Missions for Essential Drugs (MEDS) for the Faith Based providers. Private sector providers have separate purchasing arrangements mainly with private suppliers. </w:t>
      </w:r>
      <w:bookmarkStart w:id="33" w:name="_41mghml"/>
      <w:bookmarkEnd w:id="33"/>
      <w:r>
        <w:rPr>
          <w:rFonts w:eastAsia="Abadi Extra Light" w:cs="Abadi Extra Light"/>
          <w:sz w:val="20"/>
          <w:szCs w:val="20"/>
        </w:rPr>
        <w:t>Additionally, purchasing of health in Kenya is done through contract and integrated models of purchasing. Under the contract model, the National Hospital Insurance Fund purchases (NHIF) out-sources services from public and private healthcare facilities that it contracts (public contract). Private health insurers (including community</w:t>
      </w:r>
      <w:r>
        <w:rPr>
          <w:rFonts w:eastAsia="Cambria Math" w:cs="Cambria Math"/>
          <w:sz w:val="20"/>
          <w:szCs w:val="20"/>
        </w:rPr>
        <w:t>‐</w:t>
      </w:r>
      <w:r>
        <w:rPr>
          <w:rFonts w:eastAsia="Abadi Extra Light" w:cs="Abadi Extra Light"/>
          <w:sz w:val="20"/>
          <w:szCs w:val="20"/>
        </w:rPr>
        <w:t>based health insurers and micro–health insurers) purchase healthcare services from public and private providers (private contract). Under the integrated model, the MOH purchases services from public tertiary hospitals that it owns while the County Departments of Health (CDOH) purchase services from public secondary care hospitals and primary health care facilities that they own (Mbau et al., 2018; Obadha et al., 2019).</w:t>
      </w:r>
    </w:p>
    <w:p w14:paraId="1E9E950A" w14:textId="24986B06" w:rsidR="00086021" w:rsidRDefault="009E19AB" w:rsidP="0055011C">
      <w:pPr>
        <w:pStyle w:val="BodyText"/>
        <w:jc w:val="both"/>
        <w:rPr>
          <w:sz w:val="20"/>
          <w:szCs w:val="20"/>
        </w:rPr>
      </w:pPr>
      <w:r>
        <w:rPr>
          <w:sz w:val="20"/>
          <w:szCs w:val="20"/>
        </w:rPr>
        <w:t xml:space="preserve">Predominant purchasing mechanisms in health services in Kenya include fee for service (FFS), bundled payments (by households, insurance companies, government, private enterprises), capitation (through </w:t>
      </w:r>
      <w:r>
        <w:rPr>
          <w:sz w:val="20"/>
          <w:szCs w:val="20"/>
        </w:rPr>
        <w:lastRenderedPageBreak/>
        <w:t>insurance), line item, programme-based and global budgets (government). The county governments are the main purchasers of health services. Annex 7 provides a summary of purchasing mechanisms actively practiced in Kenya.</w:t>
      </w:r>
    </w:p>
    <w:p w14:paraId="44C8656B" w14:textId="77777777" w:rsidR="00086021" w:rsidRDefault="009E19AB">
      <w:pPr>
        <w:pStyle w:val="BodyText"/>
        <w:rPr>
          <w:b/>
          <w:bCs/>
          <w:sz w:val="24"/>
        </w:rPr>
      </w:pPr>
      <w:r>
        <w:rPr>
          <w:b/>
          <w:bCs/>
          <w:noProof/>
          <w:sz w:val="24"/>
        </w:rPr>
        <mc:AlternateContent>
          <mc:Choice Requires="wps">
            <w:drawing>
              <wp:anchor distT="0" distB="0" distL="0" distR="0" simplePos="0" relativeHeight="2" behindDoc="1" locked="0" layoutInCell="1" allowOverlap="1" wp14:anchorId="144602C3" wp14:editId="2C808807">
                <wp:simplePos x="0" y="0"/>
                <wp:positionH relativeFrom="column">
                  <wp:posOffset>23495</wp:posOffset>
                </wp:positionH>
                <wp:positionV relativeFrom="paragraph">
                  <wp:posOffset>41910</wp:posOffset>
                </wp:positionV>
                <wp:extent cx="5720080" cy="1373505"/>
                <wp:effectExtent l="0" t="0" r="0" b="0"/>
                <wp:wrapNone/>
                <wp:docPr id="40" name="Shape2_18"/>
                <wp:cNvGraphicFramePr/>
                <a:graphic xmlns:a="http://schemas.openxmlformats.org/drawingml/2006/main">
                  <a:graphicData uri="http://schemas.microsoft.com/office/word/2010/wordprocessingShape">
                    <wps:wsp>
                      <wps:cNvSpPr/>
                      <wps:spPr>
                        <a:xfrm>
                          <a:off x="0" y="0"/>
                          <a:ext cx="5719320" cy="1373040"/>
                        </a:xfrm>
                        <a:prstGeom prst="rect">
                          <a:avLst/>
                        </a:prstGeom>
                        <a:solidFill>
                          <a:srgbClr val="C9211E">
                            <a:alpha val="15000"/>
                          </a:srgbClr>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0A5CBDCB" id="Shape2_18" o:spid="_x0000_s1026" style="position:absolute;margin-left:1.85pt;margin-top:3.3pt;width:450.4pt;height:108.15pt;z-index:-50331647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" fillcolor="#c9211e" stroked="f">
                <v:fill opacity="9766f"/>
              </v:rect>
            </w:pict>
          </mc:Fallback>
        </mc:AlternateContent>
      </w:r>
    </w:p>
    <w:p w14:paraId="56E789F8" w14:textId="77777777" w:rsidR="00086021" w:rsidRDefault="009E19AB">
      <w:pPr>
        <w:pStyle w:val="BodyText"/>
        <w:ind w:left="540" w:right="360"/>
        <w:rPr>
          <w:b/>
          <w:bCs/>
          <w:sz w:val="24"/>
        </w:rPr>
      </w:pPr>
      <w:r>
        <w:rPr>
          <w:b/>
          <w:bCs/>
          <w:sz w:val="24"/>
        </w:rPr>
        <w:t>Advocacy Opportunity for Strategic Purchasing of Health Services</w:t>
      </w:r>
    </w:p>
    <w:p w14:paraId="0BA4CF9B" w14:textId="77777777" w:rsidR="00086021" w:rsidRDefault="009E19AB" w:rsidP="002B20CA">
      <w:pPr>
        <w:pStyle w:val="BodyText"/>
        <w:ind w:left="540" w:right="360"/>
        <w:jc w:val="both"/>
        <w:rPr>
          <w:sz w:val="20"/>
          <w:szCs w:val="20"/>
        </w:rPr>
      </w:pPr>
      <w:r>
        <w:rPr>
          <w:sz w:val="20"/>
          <w:szCs w:val="20"/>
        </w:rPr>
        <w:t xml:space="preserve">Fee-For-Service as a reimbursement mechanism neither incentivizes quality of care nor cost </w:t>
      </w:r>
      <w:proofErr w:type="gramStart"/>
      <w:r>
        <w:rPr>
          <w:sz w:val="20"/>
          <w:szCs w:val="20"/>
        </w:rPr>
        <w:t>control, but</w:t>
      </w:r>
      <w:proofErr w:type="gramEnd"/>
      <w:r>
        <w:rPr>
          <w:sz w:val="20"/>
          <w:szCs w:val="20"/>
        </w:rPr>
        <w:t xml:space="preserve"> makes care costly. Its predominance in the purchasing of care in Kenya indicates an advocacy opportunity for reforms to align reimbursement mechanisms to strategic purchasing.</w:t>
      </w:r>
    </w:p>
    <w:p w14:paraId="4CBD1EFC" w14:textId="77777777" w:rsidR="00086021" w:rsidRDefault="00086021">
      <w:pPr>
        <w:pStyle w:val="BodyText"/>
        <w:ind w:left="540" w:right="360"/>
        <w:rPr>
          <w:sz w:val="20"/>
          <w:szCs w:val="20"/>
        </w:rPr>
      </w:pPr>
    </w:p>
    <w:p w14:paraId="0E5A93CC" w14:textId="77777777" w:rsidR="00086021" w:rsidRDefault="009E19AB" w:rsidP="0055011C">
      <w:pPr>
        <w:pStyle w:val="BodyText"/>
        <w:jc w:val="both"/>
        <w:rPr>
          <w:sz w:val="20"/>
          <w:szCs w:val="20"/>
        </w:rPr>
      </w:pPr>
      <w:r>
        <w:rPr>
          <w:sz w:val="20"/>
          <w:szCs w:val="20"/>
        </w:rPr>
        <w:t>The Kenya Essential Package for Health (KEPH) provides “a set of health services that should ideally be accessible to all Kenyans as a matter of entitlement” (Ministry of Health 2016a). The package includes prevention, screening, detection, and management of various diseases and conditions including HIV. In line with the progress towards UHC in Kenya, the government in 2018 prepared the UHC Essential Benefits Package outlining services covered during the pilot phase.</w:t>
      </w:r>
    </w:p>
    <w:p w14:paraId="43E4C250" w14:textId="77777777" w:rsidR="00086021" w:rsidRPr="0055011C" w:rsidRDefault="009E19AB">
      <w:pPr>
        <w:pStyle w:val="Figure"/>
        <w:rPr>
          <w:b/>
          <w:bCs/>
          <w:sz w:val="20"/>
          <w:szCs w:val="20"/>
        </w:rPr>
      </w:pPr>
      <w:r w:rsidRPr="0055011C">
        <w:rPr>
          <w:b/>
          <w:bCs/>
          <w:sz w:val="20"/>
          <w:szCs w:val="20"/>
        </w:rPr>
        <w:t>Figure 20: Purchased services by health function in Kenya were predominantly curative outpatient and inpatient services.</w:t>
      </w:r>
    </w:p>
    <w:p w14:paraId="39FF62A9" w14:textId="77777777" w:rsidR="00086021" w:rsidRDefault="009E19AB">
      <w:pPr>
        <w:pStyle w:val="Figure"/>
      </w:pPr>
      <w:r>
        <w:rPr>
          <w:noProof/>
        </w:rPr>
        <w:drawing>
          <wp:inline distT="0" distB="0" distL="0" distR="0" wp14:anchorId="4BF555C7" wp14:editId="1DE88A36">
            <wp:extent cx="5191125" cy="3114675"/>
            <wp:effectExtent l="0" t="0" r="0" b="0"/>
            <wp:docPr id="4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3.png"/>
                    <pic:cNvPicPr>
                      <a:picLocks noChangeAspect="1" noChangeArrowheads="1"/>
                    </pic:cNvPicPr>
                  </pic:nvPicPr>
                  <pic:blipFill>
                    <a:blip r:embed="rId45"/>
                    <a:stretch>
                      <a:fillRect/>
                    </a:stretch>
                  </pic:blipFill>
                  <pic:spPr bwMode="auto">
                    <a:xfrm>
                      <a:off x="0" y="0"/>
                      <a:ext cx="5191125" cy="3114675"/>
                    </a:xfrm>
                    <a:prstGeom prst="rect">
                      <a:avLst/>
                    </a:prstGeom>
                  </pic:spPr>
                </pic:pic>
              </a:graphicData>
            </a:graphic>
          </wp:inline>
        </w:drawing>
      </w:r>
    </w:p>
    <w:p w14:paraId="1578C0F1" w14:textId="77777777" w:rsidR="00086021" w:rsidRDefault="009E19AB">
      <w:pPr>
        <w:pStyle w:val="BodyText"/>
        <w:rPr>
          <w:i/>
          <w:iCs/>
          <w:sz w:val="16"/>
          <w:szCs w:val="16"/>
        </w:rPr>
      </w:pPr>
      <w:r>
        <w:rPr>
          <w:i/>
          <w:iCs/>
          <w:sz w:val="16"/>
          <w:szCs w:val="16"/>
        </w:rPr>
        <w:t>Source: Kenya National Health Accounts 2015/2016 (MoH, 2019)</w:t>
      </w:r>
    </w:p>
    <w:p w14:paraId="0E23B7ED" w14:textId="77777777" w:rsidR="0055011C" w:rsidRDefault="0055011C">
      <w:pPr>
        <w:pStyle w:val="BodyText"/>
        <w:rPr>
          <w:b/>
          <w:bCs/>
          <w:sz w:val="20"/>
          <w:szCs w:val="20"/>
        </w:rPr>
      </w:pPr>
    </w:p>
    <w:p w14:paraId="548EA555" w14:textId="064E8A7E" w:rsidR="00086021" w:rsidRDefault="009E19AB">
      <w:pPr>
        <w:pStyle w:val="BodyText"/>
        <w:rPr>
          <w:b/>
          <w:bCs/>
          <w:sz w:val="20"/>
          <w:szCs w:val="20"/>
        </w:rPr>
      </w:pPr>
      <w:r>
        <w:rPr>
          <w:b/>
          <w:bCs/>
          <w:sz w:val="20"/>
          <w:szCs w:val="20"/>
        </w:rPr>
        <w:t>Purchasing Mechanisms for AGYW and KP Services</w:t>
      </w:r>
    </w:p>
    <w:p w14:paraId="7F69882A" w14:textId="77777777" w:rsidR="00086021" w:rsidRDefault="009E19AB" w:rsidP="0055011C">
      <w:pPr>
        <w:pStyle w:val="BodyText"/>
        <w:jc w:val="both"/>
        <w:rPr>
          <w:sz w:val="20"/>
          <w:szCs w:val="20"/>
        </w:rPr>
      </w:pPr>
      <w:r>
        <w:rPr>
          <w:sz w:val="20"/>
          <w:szCs w:val="20"/>
        </w:rPr>
        <w:t>Although the majority (about 95%) of PLHIV enrolled in HIV care and treatment receive services in the public sector or through FBOs, 2% of patients receive care from private sector providers while another 2% either receive care through donor-subsidized franchises or self-fund through private insurance and out-of-pocket payments.</w:t>
      </w:r>
    </w:p>
    <w:p w14:paraId="0E99AEBE" w14:textId="1A2EAEE3" w:rsidR="00086021" w:rsidRDefault="009E19AB" w:rsidP="0055011C">
      <w:pPr>
        <w:pStyle w:val="BodyText"/>
        <w:jc w:val="both"/>
        <w:rPr>
          <w:sz w:val="20"/>
          <w:szCs w:val="20"/>
        </w:rPr>
      </w:pPr>
      <w:r>
        <w:rPr>
          <w:rFonts w:eastAsia="Abadi Extra Light" w:cs="Abadi Extra Light"/>
          <w:sz w:val="20"/>
          <w:szCs w:val="20"/>
        </w:rPr>
        <w:t>Most HIV money flows to Antiretroviral Therapy (ART) and a range of general and targeted prevention activities. These include the introduction of Pre-Exposure Prophylaxis (PrEP) in the country specifically targeted at KPs and AGYW for HIV prevention (NASCOP, 2020). It is however noteworthy that the private sector lacks access to the free HIV drugs for their patients (PEPFAR, 2020).</w:t>
      </w:r>
      <w:r>
        <w:rPr>
          <w:rFonts w:eastAsia="Abadi Extra Light" w:cs="Abadi Extra Light"/>
          <w:sz w:val="20"/>
          <w:szCs w:val="20"/>
          <w:highlight w:val="white"/>
        </w:rPr>
        <w:t xml:space="preserve"> </w:t>
      </w:r>
      <w:r>
        <w:rPr>
          <w:rFonts w:eastAsia="Abadi Extra Light" w:cs="Abadi Extra Light"/>
          <w:sz w:val="20"/>
          <w:szCs w:val="20"/>
        </w:rPr>
        <w:t xml:space="preserve">Roles and </w:t>
      </w:r>
      <w:r>
        <w:rPr>
          <w:rFonts w:eastAsia="Abadi Extra Light" w:cs="Abadi Extra Light"/>
          <w:sz w:val="20"/>
          <w:szCs w:val="20"/>
        </w:rPr>
        <w:lastRenderedPageBreak/>
        <w:t xml:space="preserve">mechanisms for social contracting of non-state actors </w:t>
      </w:r>
      <w:proofErr w:type="gramStart"/>
      <w:r>
        <w:rPr>
          <w:rFonts w:eastAsia="Abadi Extra Light" w:cs="Abadi Extra Light"/>
          <w:sz w:val="20"/>
          <w:szCs w:val="20"/>
        </w:rPr>
        <w:t>e.g.</w:t>
      </w:r>
      <w:proofErr w:type="gramEnd"/>
      <w:r>
        <w:rPr>
          <w:rFonts w:eastAsia="Abadi Extra Light" w:cs="Abadi Extra Light"/>
          <w:sz w:val="20"/>
          <w:szCs w:val="20"/>
        </w:rPr>
        <w:t xml:space="preserve"> CSOs are yet to be fully outlined in spite CSOs having the potential to play a big role in efficient purchasing of services.</w:t>
      </w:r>
      <w:r w:rsidR="0055011C">
        <w:rPr>
          <w:rFonts w:eastAsia="Abadi Extra Light" w:cs="Abadi Extra Light"/>
          <w:sz w:val="20"/>
          <w:szCs w:val="20"/>
        </w:rPr>
        <w:t xml:space="preserve"> </w:t>
      </w:r>
    </w:p>
    <w:p w14:paraId="38D16FB0" w14:textId="77777777" w:rsidR="00086021" w:rsidRDefault="009E19AB" w:rsidP="0055011C">
      <w:pPr>
        <w:pStyle w:val="Heading3"/>
        <w:jc w:val="both"/>
        <w:rPr>
          <w:sz w:val="24"/>
        </w:rPr>
      </w:pPr>
      <w:r>
        <w:rPr>
          <w:sz w:val="24"/>
        </w:rPr>
        <w:t>Purchasing of commodities for most HIV, KP &amp; AGYW programs is done centrally through KEMSA except for few implementing partners who purchase their commodities separately from private firms.</w:t>
      </w:r>
    </w:p>
    <w:p w14:paraId="55B68369" w14:textId="77777777" w:rsidR="00086021" w:rsidRDefault="00086021" w:rsidP="0055011C">
      <w:pPr>
        <w:jc w:val="both"/>
        <w:rPr>
          <w:sz w:val="24"/>
        </w:rPr>
      </w:pPr>
    </w:p>
    <w:p w14:paraId="55DC3021" w14:textId="77777777" w:rsidR="00086021" w:rsidRDefault="009E19AB" w:rsidP="0055011C">
      <w:pPr>
        <w:pStyle w:val="BodyText"/>
        <w:jc w:val="both"/>
        <w:rPr>
          <w:sz w:val="20"/>
          <w:szCs w:val="20"/>
        </w:rPr>
      </w:pPr>
      <w:r>
        <w:rPr>
          <w:sz w:val="20"/>
          <w:szCs w:val="20"/>
        </w:rPr>
        <w:t xml:space="preserve">Purchasing of commodities for most HIV, KP and AGYW programs is done centrally through KEMSA except for few implementing partners who purchase their commodities separately from private firms. KEMSA can procure quality assured medicines through international tender at cheaper rates than international reference prices, leveraging on economies of scale. For instance, the price of some anti-retroviral medicines procured by KEMSA were below Global Fund’s pooled procurement prices by up to 21% (Global Fund, 2018). </w:t>
      </w:r>
    </w:p>
    <w:p w14:paraId="7B2F4BC9" w14:textId="77777777" w:rsidR="00086021" w:rsidRDefault="009E19AB" w:rsidP="0055011C">
      <w:pPr>
        <w:pStyle w:val="Heading3"/>
        <w:jc w:val="both"/>
        <w:rPr>
          <w:sz w:val="24"/>
        </w:rPr>
      </w:pPr>
      <w:r>
        <w:rPr>
          <w:sz w:val="24"/>
        </w:rPr>
        <w:t>Passive purchasing is still common within the Kenyan health system hence limiting the potential for efficiency gains through purchasing.</w:t>
      </w:r>
    </w:p>
    <w:p w14:paraId="607B4A24" w14:textId="77777777" w:rsidR="00086021" w:rsidRDefault="00086021" w:rsidP="0055011C">
      <w:pPr>
        <w:jc w:val="both"/>
        <w:rPr>
          <w:sz w:val="24"/>
        </w:rPr>
      </w:pPr>
    </w:p>
    <w:p w14:paraId="74D8251C" w14:textId="77777777" w:rsidR="00086021" w:rsidRDefault="009E19AB" w:rsidP="0055011C">
      <w:pPr>
        <w:pStyle w:val="BodyText"/>
        <w:jc w:val="both"/>
        <w:rPr>
          <w:sz w:val="20"/>
          <w:szCs w:val="20"/>
        </w:rPr>
      </w:pPr>
      <w:r>
        <w:rPr>
          <w:sz w:val="20"/>
          <w:szCs w:val="20"/>
        </w:rPr>
        <w:t>The donor agencies and the government are the key purchasers of HIV, KP and AGYW commodities in Kenya. PEPFAR allocated about USD 150 Million to KEMSA in FY19 for commodities as well as supply chain system improvement (USAID, 2020). However, as HIV commodity purchasing functions continue to be integrated into government systems, existing bureaucratic processes that consistently lead to delays should be examined for improvement.</w:t>
      </w:r>
    </w:p>
    <w:p w14:paraId="2314A1CE" w14:textId="77777777" w:rsidR="00086021" w:rsidRDefault="009E19AB" w:rsidP="0055011C">
      <w:pPr>
        <w:pStyle w:val="BodyText"/>
        <w:jc w:val="both"/>
        <w:rPr>
          <w:sz w:val="20"/>
          <w:szCs w:val="20"/>
        </w:rPr>
      </w:pPr>
      <w:r>
        <w:rPr>
          <w:sz w:val="20"/>
          <w:szCs w:val="20"/>
        </w:rPr>
        <w:t xml:space="preserve">Kenya has prioritized the attainment of universal health coverage (UHC) through the expansion of health insurance coverage by the National Hospital Insurance Fund (NHIF). In 2015, the NHIF introduced reforms in premium contribution rates, benefit packages, and provider payment methods. The NHIF reforms sought to expand population and service coverage and reduce OOP, however the body remains a passive purchaser due to weaknesses in the design and implementation of the reforms. These weaknesses affected its purchasing actions with negative implications for the health system goals of equity, </w:t>
      </w:r>
      <w:proofErr w:type="gramStart"/>
      <w:r>
        <w:rPr>
          <w:sz w:val="20"/>
          <w:szCs w:val="20"/>
        </w:rPr>
        <w:t>efficiency</w:t>
      </w:r>
      <w:proofErr w:type="gramEnd"/>
      <w:r>
        <w:rPr>
          <w:sz w:val="20"/>
          <w:szCs w:val="20"/>
        </w:rPr>
        <w:t xml:space="preserve"> and quality (Mbau et al., 2018). </w:t>
      </w:r>
    </w:p>
    <w:p w14:paraId="69900E69" w14:textId="77777777" w:rsidR="00086021" w:rsidRDefault="009E19AB">
      <w:pPr>
        <w:pStyle w:val="BodyText"/>
        <w:rPr>
          <w:sz w:val="20"/>
          <w:szCs w:val="20"/>
        </w:rPr>
      </w:pPr>
      <w:r>
        <w:rPr>
          <w:noProof/>
          <w:sz w:val="20"/>
          <w:szCs w:val="20"/>
        </w:rPr>
        <mc:AlternateContent>
          <mc:Choice Requires="wps">
            <w:drawing>
              <wp:anchor distT="0" distB="0" distL="0" distR="0" simplePos="0" relativeHeight="46" behindDoc="1" locked="0" layoutInCell="1" allowOverlap="1" wp14:anchorId="7D0B0810" wp14:editId="0C17C0E4">
                <wp:simplePos x="0" y="0"/>
                <wp:positionH relativeFrom="margin">
                  <wp:posOffset>-6350</wp:posOffset>
                </wp:positionH>
                <wp:positionV relativeFrom="paragraph">
                  <wp:posOffset>88265</wp:posOffset>
                </wp:positionV>
                <wp:extent cx="5867400" cy="2282760"/>
                <wp:effectExtent l="0" t="0" r="0" b="3810"/>
                <wp:wrapNone/>
                <wp:docPr id="42" name="Shape2_19"/>
                <wp:cNvGraphicFramePr/>
                <a:graphic xmlns:a="http://schemas.openxmlformats.org/drawingml/2006/main">
                  <a:graphicData uri="http://schemas.microsoft.com/office/word/2010/wordprocessingShape">
                    <wps:wsp>
                      <wps:cNvSpPr/>
                      <wps:spPr>
                        <a:xfrm>
                          <a:off x="0" y="0"/>
                          <a:ext cx="5867400" cy="2282760"/>
                        </a:xfrm>
                        <a:prstGeom prst="rect">
                          <a:avLst/>
                        </a:prstGeom>
                        <a:solidFill>
                          <a:srgbClr val="C9211E">
                            <a:alpha val="15000"/>
                          </a:srgbClr>
                        </a:solidFill>
                        <a:ln>
                          <a:noFill/>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anchor>
            </w:drawing>
          </mc:Choice>
          <mc:Fallback>
            <w:pict>
              <v:rect w14:anchorId="2337015C" id="Shape2_19" o:spid="_x0000_s1026" style="position:absolute;margin-left:-.5pt;margin-top:6.95pt;width:462pt;height:179.75pt;z-index:-503316434;visibility:visible;mso-wrap-style:square;mso-width-percent:0;mso-wrap-distance-left:0;mso-wrap-distance-top:0;mso-wrap-distance-right:0;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" fillcolor="#c9211e" stroked="f">
                <v:fill opacity="9766f"/>
                <w10:wrap anchorx="margin"/>
              </v:rect>
            </w:pict>
          </mc:Fallback>
        </mc:AlternateContent>
      </w:r>
    </w:p>
    <w:p w14:paraId="5685C349" w14:textId="77777777" w:rsidR="00086021" w:rsidRDefault="009E19AB">
      <w:pPr>
        <w:pStyle w:val="BodyText"/>
        <w:ind w:left="540" w:right="360"/>
        <w:rPr>
          <w:b/>
          <w:bCs/>
          <w:sz w:val="24"/>
        </w:rPr>
      </w:pPr>
      <w:r>
        <w:rPr>
          <w:b/>
          <w:bCs/>
          <w:sz w:val="24"/>
        </w:rPr>
        <w:t>Advocacy Opportunity for Inclusive and Less Bureaucratic Purchasing Systems</w:t>
      </w:r>
    </w:p>
    <w:p w14:paraId="64A1ABFF" w14:textId="77777777" w:rsidR="00086021" w:rsidRDefault="009E19AB" w:rsidP="002B20CA">
      <w:pPr>
        <w:pStyle w:val="BodyText"/>
        <w:ind w:left="540" w:right="360"/>
        <w:jc w:val="both"/>
        <w:rPr>
          <w:sz w:val="20"/>
          <w:szCs w:val="20"/>
        </w:rPr>
      </w:pPr>
      <w:r>
        <w:rPr>
          <w:sz w:val="20"/>
          <w:szCs w:val="20"/>
        </w:rPr>
        <w:t>The limited engagement of CSOs and private health providers in the purchasing of commodities for HIV and KP services restricts access to these services. This is further compounded by the bureaucracies within the purchasing systems that engenders in avoidable delays in purchasing. These signal advocacy opportunities for:</w:t>
      </w:r>
    </w:p>
    <w:p w14:paraId="295045BB" w14:textId="60C3C570" w:rsidR="00086021" w:rsidRDefault="002B20CA" w:rsidP="002B20CA">
      <w:pPr>
        <w:pStyle w:val="BodyText"/>
        <w:numPr>
          <w:ilvl w:val="0"/>
          <w:numId w:val="5"/>
        </w:numPr>
        <w:ind w:firstLine="180"/>
        <w:jc w:val="both"/>
        <w:rPr>
          <w:sz w:val="20"/>
          <w:szCs w:val="20"/>
        </w:rPr>
      </w:pPr>
      <w:r>
        <w:rPr>
          <w:sz w:val="20"/>
          <w:szCs w:val="20"/>
        </w:rPr>
        <w:t xml:space="preserve"> I</w:t>
      </w:r>
      <w:r w:rsidR="009E19AB">
        <w:rPr>
          <w:sz w:val="20"/>
          <w:szCs w:val="20"/>
        </w:rPr>
        <w:t xml:space="preserve">ntegrated and inclusive purchasing arrangements that accommodate CSOs and private </w:t>
      </w:r>
      <w:r w:rsidR="009E19AB">
        <w:rPr>
          <w:sz w:val="20"/>
          <w:szCs w:val="20"/>
        </w:rPr>
        <w:tab/>
        <w:t xml:space="preserve">health providers; </w:t>
      </w:r>
    </w:p>
    <w:p w14:paraId="078FE696" w14:textId="5240FBF1" w:rsidR="00086021" w:rsidRDefault="002B20CA" w:rsidP="002B20CA">
      <w:pPr>
        <w:pStyle w:val="BodyText"/>
        <w:numPr>
          <w:ilvl w:val="0"/>
          <w:numId w:val="5"/>
        </w:numPr>
        <w:ind w:firstLine="180"/>
        <w:jc w:val="both"/>
        <w:rPr>
          <w:sz w:val="20"/>
          <w:szCs w:val="20"/>
        </w:rPr>
      </w:pPr>
      <w:r>
        <w:rPr>
          <w:sz w:val="20"/>
          <w:szCs w:val="20"/>
        </w:rPr>
        <w:t xml:space="preserve"> S</w:t>
      </w:r>
      <w:r w:rsidR="009E19AB">
        <w:rPr>
          <w:sz w:val="20"/>
          <w:szCs w:val="20"/>
        </w:rPr>
        <w:t xml:space="preserve">trengthening the procurement processes to limit redundancies whilst improving efficiency </w:t>
      </w:r>
      <w:r w:rsidR="009E19AB">
        <w:rPr>
          <w:sz w:val="20"/>
          <w:szCs w:val="20"/>
        </w:rPr>
        <w:tab/>
        <w:t xml:space="preserve">and accountability. The latter could include process automation. </w:t>
      </w:r>
    </w:p>
    <w:p w14:paraId="368DBF31" w14:textId="77777777" w:rsidR="00086021" w:rsidRDefault="00086021">
      <w:pPr>
        <w:pStyle w:val="BodyText"/>
        <w:ind w:left="360" w:firstLine="180"/>
        <w:rPr>
          <w:sz w:val="20"/>
          <w:szCs w:val="20"/>
        </w:rPr>
      </w:pPr>
    </w:p>
    <w:p w14:paraId="76EC8534" w14:textId="77777777" w:rsidR="00086021" w:rsidRDefault="009E19AB">
      <w:pPr>
        <w:pStyle w:val="Heading4"/>
      </w:pPr>
      <w:bookmarkStart w:id="34" w:name="_Toc56997951"/>
      <w:r>
        <w:t>3.2.5.</w:t>
      </w:r>
      <w:r>
        <w:tab/>
        <w:t>Equity Perspectives</w:t>
      </w:r>
      <w:bookmarkEnd w:id="34"/>
    </w:p>
    <w:p w14:paraId="6ABF03E4" w14:textId="77777777" w:rsidR="00086021" w:rsidRDefault="00086021"/>
    <w:p w14:paraId="08AFB909" w14:textId="1CD6FF35" w:rsidR="00086021" w:rsidRDefault="009E19AB" w:rsidP="0055011C">
      <w:pPr>
        <w:pStyle w:val="BodyText"/>
        <w:jc w:val="both"/>
        <w:rPr>
          <w:sz w:val="20"/>
          <w:szCs w:val="20"/>
        </w:rPr>
      </w:pPr>
      <w:r>
        <w:rPr>
          <w:sz w:val="20"/>
          <w:szCs w:val="20"/>
        </w:rPr>
        <w:t xml:space="preserve">The Constitution of Kenya (2010) entrenches the right to access to healthcare with an emphasis on children and </w:t>
      </w:r>
      <w:r w:rsidR="0055011C">
        <w:rPr>
          <w:sz w:val="20"/>
          <w:szCs w:val="20"/>
        </w:rPr>
        <w:t>marginalized</w:t>
      </w:r>
      <w:r>
        <w:rPr>
          <w:sz w:val="20"/>
          <w:szCs w:val="20"/>
        </w:rPr>
        <w:t xml:space="preserve"> groups (Republic of Kenya, 2010). CAP 4; 43 (1a) further affords all citizens the right to the highest attainable standard of health, which includes the right to health care services, including reproductive health care. To this end, the government has instituted several measures with a view to ensuring equitable access to healthcare. </w:t>
      </w:r>
    </w:p>
    <w:p w14:paraId="585A5693" w14:textId="77777777" w:rsidR="00086021" w:rsidRDefault="009E19AB">
      <w:pPr>
        <w:pStyle w:val="BodyText"/>
        <w:rPr>
          <w:sz w:val="20"/>
          <w:szCs w:val="20"/>
        </w:rPr>
      </w:pPr>
      <w:r>
        <w:br w:type="page"/>
      </w:r>
    </w:p>
    <w:p w14:paraId="1CB82A1C" w14:textId="77777777" w:rsidR="00086021" w:rsidRDefault="009E19AB" w:rsidP="0055011C">
      <w:pPr>
        <w:pStyle w:val="Heading5"/>
        <w:jc w:val="both"/>
      </w:pPr>
      <w:bookmarkStart w:id="35" w:name="_Toc56997952"/>
      <w:r>
        <w:lastRenderedPageBreak/>
        <w:t>UHC</w:t>
      </w:r>
      <w:bookmarkEnd w:id="35"/>
    </w:p>
    <w:p w14:paraId="60342C71" w14:textId="77777777" w:rsidR="00086021" w:rsidRDefault="00086021" w:rsidP="0055011C">
      <w:pPr>
        <w:jc w:val="both"/>
      </w:pPr>
    </w:p>
    <w:p w14:paraId="4C99D4B3" w14:textId="77777777" w:rsidR="00086021" w:rsidRDefault="009E19AB" w:rsidP="0055011C">
      <w:pPr>
        <w:pStyle w:val="BodyText"/>
        <w:jc w:val="both"/>
        <w:rPr>
          <w:sz w:val="20"/>
          <w:szCs w:val="20"/>
        </w:rPr>
      </w:pPr>
      <w:r>
        <w:rPr>
          <w:sz w:val="20"/>
          <w:szCs w:val="20"/>
        </w:rPr>
        <w:t xml:space="preserve">In 2017, the Government of Kenya announced its ‘Big 4’ agenda for Kenya, one of which was to achieve universal healthcare (UHC) by 2022. UHC would ensure access for all Kenyans to quality healthcare that covers all health care aspects including preventative, </w:t>
      </w:r>
      <w:proofErr w:type="gramStart"/>
      <w:r>
        <w:rPr>
          <w:sz w:val="20"/>
          <w:szCs w:val="20"/>
        </w:rPr>
        <w:t>curative</w:t>
      </w:r>
      <w:proofErr w:type="gramEnd"/>
      <w:r>
        <w:rPr>
          <w:sz w:val="20"/>
          <w:szCs w:val="20"/>
        </w:rPr>
        <w:t xml:space="preserve"> and rehabilitative services. To achieve this, the government gazetted an Essential Benefits Package for UHC (UHC-EBP) Advisory Panel in 2018 with the key mandate to define and cost the package of health services to be funded under the UHC agenda. Noteworthy, the UHC benefit package does not designate any services specific to the Key Populations and AGYW beyond general reproductive health services. The four pilot counties- Kisumu, Nyeri, Machakos and Isiolo- were selected to represent the diversity of health challenges in Kenya (Watkins &amp; et al, 2017).  </w:t>
      </w:r>
    </w:p>
    <w:p w14:paraId="4481B536" w14:textId="77777777" w:rsidR="00086021" w:rsidRDefault="009E19AB" w:rsidP="0055011C">
      <w:pPr>
        <w:pStyle w:val="BodyText"/>
        <w:jc w:val="both"/>
        <w:rPr>
          <w:sz w:val="20"/>
          <w:szCs w:val="20"/>
        </w:rPr>
      </w:pPr>
      <w:r>
        <w:rPr>
          <w:sz w:val="20"/>
          <w:szCs w:val="20"/>
        </w:rPr>
        <w:t xml:space="preserve">Upon the end of the pilot phase, late 2019, the Government undertook a review of the progress made with a view to refining the implementation and the national UHC package ahead of the roll out to the remaining 43 counties. </w:t>
      </w:r>
    </w:p>
    <w:p w14:paraId="3F11BED2" w14:textId="77777777" w:rsidR="00086021" w:rsidRDefault="009E19AB" w:rsidP="0055011C">
      <w:pPr>
        <w:pStyle w:val="BodyText"/>
        <w:jc w:val="both"/>
        <w:rPr>
          <w:sz w:val="20"/>
          <w:szCs w:val="20"/>
        </w:rPr>
      </w:pPr>
      <w:r>
        <w:rPr>
          <w:sz w:val="20"/>
          <w:szCs w:val="20"/>
        </w:rPr>
        <w:t>The NHIF is anticipated to be the vehicle with which to accelerate the progressive attainment of universal equitable coverage (NHIF, 2018). This goes hand in hand with providing financial protection that would shield individuals and households from financial hardship as they seek medical care. To this end, the government initiated legal reforms within NHIF with a view to improving its business processes and alignment to the UHC implementation aims in the country (Barasa, Chuma, &amp; Wambugu, 2019). The reforms included increased contributions from working citizens, inclusion of outpatient services under the NHIF benefits, strengthening of ICT systems for process automation some and empaneling of more providers within the NHIF network.</w:t>
      </w:r>
    </w:p>
    <w:p w14:paraId="26D24ED7" w14:textId="77777777" w:rsidR="00086021" w:rsidRDefault="009E19AB">
      <w:pPr>
        <w:pStyle w:val="Quote"/>
        <w:rPr>
          <w:color w:val="C9211E"/>
          <w:sz w:val="20"/>
          <w:szCs w:val="20"/>
        </w:rPr>
      </w:pPr>
      <w:r>
        <w:rPr>
          <w:rFonts w:eastAsia="Abadi Extra Light" w:cs="Abadi Extra Light"/>
          <w:color w:val="C9211E"/>
          <w:sz w:val="20"/>
          <w:szCs w:val="20"/>
        </w:rPr>
        <w:t xml:space="preserve">“The design and implementation of the pilot UHC program does not consider the specific needs of the priority populations. The system continues to be discriminative to most of us by virtue of our legal status.” – </w:t>
      </w:r>
      <w:r>
        <w:rPr>
          <w:rFonts w:eastAsia="Abadi Extra Light" w:cs="Abadi Extra Light"/>
          <w:i/>
          <w:iCs/>
          <w:color w:val="C9211E"/>
          <w:sz w:val="20"/>
          <w:szCs w:val="20"/>
        </w:rPr>
        <w:t>KP Representative.</w:t>
      </w:r>
    </w:p>
    <w:p w14:paraId="6D274BB2" w14:textId="77777777" w:rsidR="00086021" w:rsidRDefault="00086021">
      <w:pPr>
        <w:rPr>
          <w:rFonts w:eastAsia="Abadi Extra Light" w:cs="Abadi Extra Light"/>
          <w:i/>
          <w:iCs/>
          <w:color w:val="C9211E"/>
          <w:sz w:val="20"/>
          <w:szCs w:val="20"/>
        </w:rPr>
      </w:pPr>
    </w:p>
    <w:p w14:paraId="178FD158" w14:textId="77777777" w:rsidR="00086021" w:rsidRDefault="009E19AB" w:rsidP="0055011C">
      <w:pPr>
        <w:pStyle w:val="BodyText"/>
        <w:jc w:val="both"/>
        <w:rPr>
          <w:sz w:val="20"/>
          <w:szCs w:val="20"/>
        </w:rPr>
      </w:pPr>
      <w:r>
        <w:rPr>
          <w:sz w:val="20"/>
          <w:szCs w:val="20"/>
        </w:rPr>
        <w:t xml:space="preserve">Subsequently, the government allocated Ksh. 20 Billion to the MoH in the 2018/2019 budget, a 48% increase from the previous year’s budget (National Treasury and Planning Report, 2019). Of this, Ksh. 800 million was planned towards insurance for the poor and informally employed, a 14% increase from the previous year. Ksh. 2 Billion was allocated to supplying drugs </w:t>
      </w:r>
      <w:r>
        <w:rPr>
          <w:rFonts w:eastAsia="Abadi Extra Light" w:cs="Abadi Extra Light"/>
          <w:sz w:val="20"/>
          <w:szCs w:val="20"/>
        </w:rPr>
        <w:t>and surgical supplies, while Ksh. 13.7 billion catered for the free maternity programme, an 8.6% increase from the previous year (Ouma, 2018). The 2019/2020 budget continued to place focus on UHC with Ksh. 47.8 billion being allocated to facilitating UHC as shown in Figure 20 (The National Treasury and Planning, 2019).</w:t>
      </w:r>
    </w:p>
    <w:p w14:paraId="035EE32E" w14:textId="77777777" w:rsidR="00086021" w:rsidRPr="0055011C" w:rsidRDefault="009E19AB">
      <w:pPr>
        <w:pStyle w:val="Figure"/>
        <w:rPr>
          <w:b/>
          <w:bCs/>
          <w:sz w:val="20"/>
          <w:szCs w:val="20"/>
        </w:rPr>
      </w:pPr>
      <w:r w:rsidRPr="0055011C">
        <w:rPr>
          <w:b/>
          <w:bCs/>
          <w:sz w:val="20"/>
          <w:szCs w:val="20"/>
        </w:rPr>
        <w:t>Figure 21: 2019/2020 Ministry of Health UHC Budget</w:t>
      </w:r>
    </w:p>
    <w:p w14:paraId="6A3E16C1" w14:textId="77777777" w:rsidR="00086021" w:rsidRDefault="009E19AB">
      <w:pPr>
        <w:pStyle w:val="Figure"/>
      </w:pPr>
      <w:r>
        <w:rPr>
          <w:noProof/>
        </w:rPr>
        <w:drawing>
          <wp:inline distT="0" distB="0" distL="0" distR="0" wp14:anchorId="04605583" wp14:editId="7EBD25CD">
            <wp:extent cx="5024755" cy="2226945"/>
            <wp:effectExtent l="0" t="0" r="0" b="0"/>
            <wp:docPr id="4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4.png"/>
                    <pic:cNvPicPr>
                      <a:picLocks noChangeAspect="1" noChangeArrowheads="1"/>
                    </pic:cNvPicPr>
                  </pic:nvPicPr>
                  <pic:blipFill>
                    <a:blip r:embed="rId46"/>
                    <a:stretch>
                      <a:fillRect/>
                    </a:stretch>
                  </pic:blipFill>
                  <pic:spPr bwMode="auto">
                    <a:xfrm>
                      <a:off x="0" y="0"/>
                      <a:ext cx="5024755" cy="2226945"/>
                    </a:xfrm>
                    <a:prstGeom prst="rect">
                      <a:avLst/>
                    </a:prstGeom>
                  </pic:spPr>
                </pic:pic>
              </a:graphicData>
            </a:graphic>
          </wp:inline>
        </w:drawing>
      </w:r>
    </w:p>
    <w:p w14:paraId="6AFBC90C" w14:textId="77777777" w:rsidR="00086021" w:rsidRDefault="009E19AB">
      <w:pPr>
        <w:pStyle w:val="BodyText"/>
        <w:rPr>
          <w:i/>
          <w:iCs/>
          <w:sz w:val="16"/>
          <w:szCs w:val="16"/>
        </w:rPr>
      </w:pPr>
      <w:r>
        <w:rPr>
          <w:i/>
          <w:iCs/>
          <w:sz w:val="16"/>
          <w:szCs w:val="16"/>
        </w:rPr>
        <w:t>Source: The National Treasury and Planning, 2019</w:t>
      </w:r>
      <w:r>
        <w:br w:type="page"/>
      </w:r>
    </w:p>
    <w:p w14:paraId="585CB084" w14:textId="77777777" w:rsidR="00086021" w:rsidRDefault="009E19AB">
      <w:pPr>
        <w:pStyle w:val="BodyText"/>
        <w:ind w:left="540" w:right="360"/>
        <w:rPr>
          <w:b/>
          <w:bCs/>
          <w:sz w:val="24"/>
        </w:rPr>
      </w:pPr>
      <w:r>
        <w:rPr>
          <w:b/>
          <w:bCs/>
          <w:noProof/>
          <w:sz w:val="24"/>
        </w:rPr>
        <w:lastRenderedPageBreak/>
        <mc:AlternateContent>
          <mc:Choice Requires="wps">
            <w:drawing>
              <wp:anchor distT="0" distB="0" distL="0" distR="0" simplePos="0" relativeHeight="48" behindDoc="0" locked="0" layoutInCell="1" allowOverlap="1" wp14:anchorId="396037E9" wp14:editId="3B4DCB06">
                <wp:simplePos x="0" y="0"/>
                <wp:positionH relativeFrom="column">
                  <wp:posOffset>13335</wp:posOffset>
                </wp:positionH>
                <wp:positionV relativeFrom="paragraph">
                  <wp:posOffset>23495</wp:posOffset>
                </wp:positionV>
                <wp:extent cx="5720080" cy="1593215"/>
                <wp:effectExtent l="0" t="0" r="0" b="0"/>
                <wp:wrapNone/>
                <wp:docPr id="44" name="Shape2_20"/>
                <wp:cNvGraphicFramePr/>
                <a:graphic xmlns:a="http://schemas.openxmlformats.org/drawingml/2006/main">
                  <a:graphicData uri="http://schemas.microsoft.com/office/word/2010/wordprocessingShape">
                    <wps:wsp>
                      <wps:cNvSpPr/>
                      <wps:spPr>
                        <a:xfrm>
                          <a:off x="0" y="0"/>
                          <a:ext cx="5719320" cy="1592640"/>
                        </a:xfrm>
                        <a:prstGeom prst="rect">
                          <a:avLst/>
                        </a:prstGeom>
                        <a:solidFill>
                          <a:srgbClr val="C9211E">
                            <a:alpha val="15000"/>
                          </a:srgbClr>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c="http://schemas.openxmlformats.org/drawingml/2006/chart" xmlns:a1611="http://schemas.microsoft.com/office/drawing/2016/11/main" xmlns:a14="http://schemas.microsoft.com/office/drawing/2010/main" xmlns:pic="http://schemas.openxmlformats.org/drawingml/2006/picture" xmlns:a16="http://schemas.microsoft.com/office/drawing/2014/main" xmlns:a="http://schemas.openxmlformats.org/drawingml/2006/main">
            <w:pict w14:anchorId="37615847">
              <v:rect id="Shape2_20" style="position:absolute;margin-left:1.05pt;margin-top:1.85pt;width:450.4pt;height:125.45pt;z-index:48;visibility:visible;mso-wrap-style:square;mso-wrap-distance-left:0;mso-wrap-distance-top:0;mso-wrap-distance-right:0;mso-wrap-distance-bottom:0;mso-position-horizontal:absolute;mso-position-horizontal-relative:text;mso-position-vertical:absolute;mso-position-vertical-relative:text;v-text-anchor:top" o:spid="_x0000_s1026" fillcolor="#c9211e" stroked="f" w14:anchorId="43EF08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">
                <v:fill opacity="9766f"/>
              </v:rect>
            </w:pict>
          </mc:Fallback>
        </mc:AlternateContent>
      </w:r>
    </w:p>
    <w:p w14:paraId="76ECAC2A" w14:textId="77777777" w:rsidR="00086021" w:rsidRDefault="009E19AB">
      <w:pPr>
        <w:pStyle w:val="BodyText"/>
        <w:ind w:left="540" w:right="360"/>
        <w:rPr>
          <w:b/>
          <w:bCs/>
          <w:sz w:val="24"/>
        </w:rPr>
      </w:pPr>
      <w:r>
        <w:rPr>
          <w:b/>
          <w:bCs/>
          <w:sz w:val="24"/>
        </w:rPr>
        <w:t>Advocacy Opportunity for Inclusive Design and Implementation of UHC</w:t>
      </w:r>
    </w:p>
    <w:p w14:paraId="7095BCE5" w14:textId="77777777" w:rsidR="00086021" w:rsidRDefault="009E19AB">
      <w:pPr>
        <w:pStyle w:val="BodyText"/>
        <w:ind w:left="540" w:right="360"/>
        <w:rPr>
          <w:sz w:val="20"/>
          <w:szCs w:val="20"/>
        </w:rPr>
      </w:pPr>
      <w:r>
        <w:rPr>
          <w:sz w:val="20"/>
          <w:szCs w:val="20"/>
        </w:rPr>
        <w:t>The limited coverage scope of the UHC benefit package and the stigmatization of KPs in healthcare provide an opportunity for advocacy for development of a more KP and AGYW sensitive UHC benefits package. It also provides an opportunity for advocacy for capacity building among health workers in the delivery of KP and AGYW sensitive care.</w:t>
      </w:r>
    </w:p>
    <w:p w14:paraId="3B7C7DED" w14:textId="77777777" w:rsidR="00086021" w:rsidRDefault="00086021">
      <w:pPr>
        <w:pStyle w:val="BodyText"/>
        <w:ind w:left="540" w:right="360"/>
        <w:rPr>
          <w:sz w:val="20"/>
          <w:szCs w:val="20"/>
        </w:rPr>
      </w:pPr>
    </w:p>
    <w:p w14:paraId="31F7B3C2" w14:textId="77777777" w:rsidR="00086021" w:rsidRDefault="009E19AB" w:rsidP="0055011C">
      <w:pPr>
        <w:pStyle w:val="Heading5"/>
        <w:jc w:val="both"/>
      </w:pPr>
      <w:r>
        <w:t>1. Health</w:t>
      </w:r>
      <w:bookmarkStart w:id="36" w:name="_Toc56997953"/>
      <w:r>
        <w:t xml:space="preserve"> Insurance Subsidy Programme (HISP)</w:t>
      </w:r>
      <w:bookmarkEnd w:id="36"/>
    </w:p>
    <w:p w14:paraId="06B7D7F8" w14:textId="77777777" w:rsidR="00086021" w:rsidRDefault="00086021" w:rsidP="0055011C">
      <w:pPr>
        <w:jc w:val="both"/>
      </w:pPr>
    </w:p>
    <w:p w14:paraId="55E50B4D" w14:textId="77777777" w:rsidR="00086021" w:rsidRDefault="009E19AB" w:rsidP="0055011C">
      <w:pPr>
        <w:pStyle w:val="BodyText"/>
        <w:jc w:val="both"/>
        <w:rPr>
          <w:sz w:val="20"/>
          <w:szCs w:val="20"/>
        </w:rPr>
      </w:pPr>
      <w:r>
        <w:rPr>
          <w:sz w:val="20"/>
          <w:szCs w:val="20"/>
        </w:rPr>
        <w:t xml:space="preserve">Health Insurance Subsidy Programme (HISP) was begun in 2014 to cover the poorest of the poor, disabled and elderly (Barasa, Rogo, Mwaura, &amp; Chuma, 2018). A HISP beneficiary is not required to pay for any services out of pocket as the government and donors fully subsidize any incurred costs (Kabia, et al., 2019). </w:t>
      </w:r>
    </w:p>
    <w:p w14:paraId="4EEF6A61" w14:textId="77777777" w:rsidR="00086021" w:rsidRDefault="009E19AB" w:rsidP="0055011C">
      <w:pPr>
        <w:pStyle w:val="BodyText"/>
        <w:jc w:val="both"/>
        <w:rPr>
          <w:sz w:val="20"/>
          <w:szCs w:val="20"/>
        </w:rPr>
      </w:pPr>
      <w:r>
        <w:rPr>
          <w:rFonts w:eastAsia="Abadi Extra Light" w:cs="Abadi Extra Light"/>
          <w:sz w:val="20"/>
          <w:szCs w:val="20"/>
        </w:rPr>
        <w:t>So far, the implementation of HISP has been successful having reached and supported 21,525 poor households and 198,752 elderly and disabled by 2017 (KIPPRA, 2018-2019) with a 45% benefit payout ratio (NHIF, 2018). Cumulatively, the programme has spent over Ksh. 700 million providing these health services (The International Social Security Association, 2019). However, it has faced barriers such as lack of information among beneficiaries which has exposed them to exploitation within the health system in the form of additional fees, shortage of some health services and drugs, lack of feedback mechanisms and high transport fees to reach health facilities (Kabia, et al., 2019).</w:t>
      </w:r>
      <w:r>
        <w:rPr>
          <w:rFonts w:eastAsia="Arial" w:cs="Arial"/>
          <w:sz w:val="20"/>
          <w:szCs w:val="20"/>
        </w:rPr>
        <w:t xml:space="preserve"> </w:t>
      </w:r>
    </w:p>
    <w:p w14:paraId="51D0EA2C" w14:textId="77777777" w:rsidR="00086021" w:rsidRDefault="009E19AB" w:rsidP="0055011C">
      <w:pPr>
        <w:pStyle w:val="Heading5"/>
        <w:jc w:val="both"/>
      </w:pPr>
      <w:r>
        <w:t xml:space="preserve">2. </w:t>
      </w:r>
      <w:bookmarkStart w:id="37" w:name="_Toc56997954"/>
      <w:r>
        <w:t>Linda Mama</w:t>
      </w:r>
      <w:bookmarkEnd w:id="37"/>
    </w:p>
    <w:p w14:paraId="56B47924" w14:textId="77777777" w:rsidR="00086021" w:rsidRDefault="00086021" w:rsidP="0055011C">
      <w:pPr>
        <w:jc w:val="both"/>
      </w:pPr>
    </w:p>
    <w:p w14:paraId="64984E24" w14:textId="77777777" w:rsidR="00086021" w:rsidRDefault="009E19AB" w:rsidP="0055011C">
      <w:pPr>
        <w:pStyle w:val="BodyText"/>
        <w:jc w:val="both"/>
        <w:rPr>
          <w:sz w:val="20"/>
          <w:szCs w:val="20"/>
        </w:rPr>
      </w:pPr>
      <w:r>
        <w:rPr>
          <w:sz w:val="20"/>
          <w:szCs w:val="20"/>
        </w:rPr>
        <w:t>The Linda Mama scheme provides free maternal and infant healthcare. The Linda Mama program, administered by NHIF, covers care sought at any NHIF registered healthcare facility; all public, 2000 private and 700 faith-based facilities. Indeed, increased uptake of maternal services has been noted with the government assigning Ksh4.1 Billion to Linda Mama in FY2020/21 and targeting 1.36 Million women per year (Ministry of Health, 2017; Ministry of Health, 2018).</w:t>
      </w:r>
    </w:p>
    <w:p w14:paraId="41FAA2C7" w14:textId="77777777" w:rsidR="00086021" w:rsidRDefault="009E19AB" w:rsidP="0055011C">
      <w:pPr>
        <w:pStyle w:val="Heading5"/>
        <w:jc w:val="both"/>
      </w:pPr>
      <w:r>
        <w:t xml:space="preserve">3. </w:t>
      </w:r>
      <w:bookmarkStart w:id="38" w:name="_Toc56997955"/>
      <w:r>
        <w:t>EduAfya</w:t>
      </w:r>
      <w:bookmarkEnd w:id="38"/>
    </w:p>
    <w:p w14:paraId="4743951E" w14:textId="77777777" w:rsidR="00086021" w:rsidRDefault="00086021" w:rsidP="0055011C">
      <w:pPr>
        <w:jc w:val="both"/>
      </w:pPr>
    </w:p>
    <w:p w14:paraId="06BC7E29" w14:textId="77777777" w:rsidR="00086021" w:rsidRDefault="009E19AB" w:rsidP="0055011C">
      <w:pPr>
        <w:pStyle w:val="BodyText"/>
        <w:jc w:val="both"/>
      </w:pPr>
      <w:r>
        <w:t>This is a comprehensive insurance programme for public secondary school students, most of whom are adolescents, launched by the government in 2018. The initiative, administered by NHIF, had an estimated pool of 2.7 million students covered in 2019 (NHIF, 2020). Beneficiaries are entitled to comprehensive outpatient and inpatient care including rehabilitation for drug abuse</w:t>
      </w:r>
      <w:r>
        <w:rPr>
          <w:sz w:val="20"/>
          <w:szCs w:val="20"/>
        </w:rPr>
        <w:t xml:space="preserve"> </w:t>
      </w:r>
      <w:r>
        <w:rPr>
          <w:rFonts w:eastAsia="Abadi Extra Light" w:cs="Abadi Extra Light"/>
          <w:sz w:val="20"/>
          <w:szCs w:val="20"/>
        </w:rPr>
        <w:t xml:space="preserve">(Appleford &amp; Mbuthia, 2020). In FY2018/19, the EduAfya scheme had a budget of KES 4 billion based on a premium of KES 1,350 per student per year (PSCU 2018). </w:t>
      </w:r>
    </w:p>
    <w:p w14:paraId="0840B1B5" w14:textId="77777777" w:rsidR="00086021" w:rsidRDefault="009E19AB">
      <w:pPr>
        <w:pStyle w:val="BodyText"/>
        <w:rPr>
          <w:sz w:val="20"/>
          <w:szCs w:val="20"/>
        </w:rPr>
      </w:pPr>
      <w:r>
        <w:rPr>
          <w:noProof/>
          <w:sz w:val="20"/>
          <w:szCs w:val="20"/>
        </w:rPr>
        <mc:AlternateContent>
          <mc:Choice Requires="wps">
            <w:drawing>
              <wp:anchor distT="0" distB="0" distL="0" distR="0" simplePos="0" relativeHeight="49" behindDoc="0" locked="0" layoutInCell="1" allowOverlap="1" wp14:anchorId="327275CE" wp14:editId="6C1E2465">
                <wp:simplePos x="0" y="0"/>
                <wp:positionH relativeFrom="column">
                  <wp:posOffset>13335</wp:posOffset>
                </wp:positionH>
                <wp:positionV relativeFrom="paragraph">
                  <wp:posOffset>60325</wp:posOffset>
                </wp:positionV>
                <wp:extent cx="5720080" cy="1364615"/>
                <wp:effectExtent l="0" t="0" r="0" b="0"/>
                <wp:wrapNone/>
                <wp:docPr id="45" name="Shape2_21"/>
                <wp:cNvGraphicFramePr/>
                <a:graphic xmlns:a="http://schemas.openxmlformats.org/drawingml/2006/main">
                  <a:graphicData uri="http://schemas.microsoft.com/office/word/2010/wordprocessingShape">
                    <wps:wsp>
                      <wps:cNvSpPr/>
                      <wps:spPr>
                        <a:xfrm>
                          <a:off x="0" y="0"/>
                          <a:ext cx="5719320" cy="1364040"/>
                        </a:xfrm>
                        <a:prstGeom prst="rect">
                          <a:avLst/>
                        </a:prstGeom>
                        <a:solidFill>
                          <a:srgbClr val="C9211E">
                            <a:alpha val="15000"/>
                          </a:srgbClr>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c="http://schemas.openxmlformats.org/drawingml/2006/chart" xmlns:a1611="http://schemas.microsoft.com/office/drawing/2016/11/main" xmlns:a14="http://schemas.microsoft.com/office/drawing/2010/main" xmlns:pic="http://schemas.openxmlformats.org/drawingml/2006/picture" xmlns:a16="http://schemas.microsoft.com/office/drawing/2014/main" xmlns:a="http://schemas.openxmlformats.org/drawingml/2006/main">
            <w:pict w14:anchorId="1F9EA809">
              <v:rect id="Shape2_21" style="position:absolute;margin-left:1.05pt;margin-top:4.75pt;width:450.4pt;height:107.45pt;z-index:49;visibility:visible;mso-wrap-style:square;mso-wrap-distance-left:0;mso-wrap-distance-top:0;mso-wrap-distance-right:0;mso-wrap-distance-bottom:0;mso-position-horizontal:absolute;mso-position-horizontal-relative:text;mso-position-vertical:absolute;mso-position-vertical-relative:text;v-text-anchor:top" o:spid="_x0000_s1026" fillcolor="#c9211e" stroked="f" w14:anchorId="53CCEA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">
                <v:fill opacity="9766f"/>
              </v:rect>
            </w:pict>
          </mc:Fallback>
        </mc:AlternateContent>
      </w:r>
    </w:p>
    <w:p w14:paraId="34EE12D2" w14:textId="77777777" w:rsidR="00086021" w:rsidRDefault="009E19AB">
      <w:pPr>
        <w:pStyle w:val="BodyText"/>
        <w:ind w:left="540" w:right="360"/>
        <w:rPr>
          <w:sz w:val="20"/>
          <w:szCs w:val="20"/>
        </w:rPr>
      </w:pPr>
      <w:r>
        <w:rPr>
          <w:b/>
          <w:bCs/>
          <w:sz w:val="24"/>
        </w:rPr>
        <w:t>Advocacy Opportunity for Explicit EduAfya Benefits Package</w:t>
      </w:r>
      <w:r>
        <w:rPr>
          <w:sz w:val="20"/>
          <w:szCs w:val="20"/>
        </w:rPr>
        <w:t xml:space="preserve"> </w:t>
      </w:r>
    </w:p>
    <w:p w14:paraId="2C54C042" w14:textId="77777777" w:rsidR="00086021" w:rsidRDefault="009E19AB">
      <w:pPr>
        <w:pStyle w:val="BodyText"/>
        <w:ind w:left="540" w:right="360"/>
        <w:rPr>
          <w:sz w:val="20"/>
          <w:szCs w:val="20"/>
        </w:rPr>
      </w:pPr>
      <w:r>
        <w:rPr>
          <w:sz w:val="20"/>
          <w:szCs w:val="20"/>
        </w:rPr>
        <w:t>Whilst EduAfya provides cover to KPs and AGYW in public secondary schools, the scope of cover for sexual and reproductive health is neither clear nor explicit. This results in limited access to the services covered. This provides an advocacy opportunity for explicit rather than implicit benefits package design.</w:t>
      </w:r>
    </w:p>
    <w:p w14:paraId="4A605FC5" w14:textId="77777777" w:rsidR="00086021" w:rsidRDefault="00086021">
      <w:pPr>
        <w:pStyle w:val="BodyText"/>
        <w:rPr>
          <w:sz w:val="20"/>
          <w:szCs w:val="20"/>
        </w:rPr>
      </w:pPr>
    </w:p>
    <w:p w14:paraId="6E46E074" w14:textId="77777777" w:rsidR="00086021" w:rsidRDefault="009E19AB" w:rsidP="0055011C">
      <w:pPr>
        <w:pStyle w:val="Heading3"/>
        <w:jc w:val="both"/>
        <w:rPr>
          <w:sz w:val="24"/>
        </w:rPr>
      </w:pPr>
      <w:r>
        <w:rPr>
          <w:sz w:val="24"/>
        </w:rPr>
        <w:t>Against a target of 90% coverage, the coverage levels for Female Sex Workers, MSM and People Who Inject Drugs in the country were 64%, 47% and 44% respectively. - Ministry of Health, 2017</w:t>
      </w:r>
      <w:r>
        <w:br w:type="page"/>
      </w:r>
    </w:p>
    <w:p w14:paraId="301DC4D1" w14:textId="77777777" w:rsidR="00086021" w:rsidRDefault="009E19AB" w:rsidP="0055011C">
      <w:pPr>
        <w:pStyle w:val="BodyText"/>
        <w:jc w:val="both"/>
        <w:rPr>
          <w:b/>
          <w:bCs/>
          <w:sz w:val="20"/>
          <w:szCs w:val="20"/>
        </w:rPr>
      </w:pPr>
      <w:r>
        <w:rPr>
          <w:b/>
          <w:bCs/>
          <w:sz w:val="20"/>
          <w:szCs w:val="20"/>
        </w:rPr>
        <w:lastRenderedPageBreak/>
        <w:t>Equity Perspectives for AGYW and KP in Kenya</w:t>
      </w:r>
    </w:p>
    <w:p w14:paraId="01145761" w14:textId="77777777" w:rsidR="00086021" w:rsidRDefault="009E19AB" w:rsidP="0055011C">
      <w:pPr>
        <w:pStyle w:val="BodyText"/>
        <w:jc w:val="both"/>
        <w:rPr>
          <w:sz w:val="20"/>
          <w:szCs w:val="20"/>
        </w:rPr>
      </w:pPr>
      <w:r>
        <w:rPr>
          <w:sz w:val="20"/>
          <w:szCs w:val="20"/>
        </w:rPr>
        <w:t xml:space="preserve">Whilst there are programmes targeting the KPs in Kenya, they suffer from suboptimal coverage with requisite interventions as demonstrated by the National Aids Control Council. Against a target of 90% coverage, the coverage levels for Female Sex Workers, MSM and People Who Inject Drugs in the country were 64%, 47% and 44% respectively (Ministry of Health, 2017) </w:t>
      </w:r>
    </w:p>
    <w:p w14:paraId="4F157403" w14:textId="1484BB95" w:rsidR="0055011C" w:rsidRDefault="009E19AB" w:rsidP="0055011C">
      <w:pPr>
        <w:pStyle w:val="BodyText"/>
        <w:jc w:val="both"/>
        <w:rPr>
          <w:sz w:val="20"/>
          <w:szCs w:val="20"/>
        </w:rPr>
      </w:pPr>
      <w:r>
        <w:rPr>
          <w:sz w:val="20"/>
          <w:szCs w:val="20"/>
        </w:rPr>
        <w:t xml:space="preserve">Noteworthy, PEPFAR in FY20, prioritized needs for the KPs through the “Reimagine, Redesign, and Reboot” program that focused on finding positives, expanding their treatment </w:t>
      </w:r>
      <w:proofErr w:type="gramStart"/>
      <w:r>
        <w:rPr>
          <w:sz w:val="20"/>
          <w:szCs w:val="20"/>
        </w:rPr>
        <w:t>options</w:t>
      </w:r>
      <w:proofErr w:type="gramEnd"/>
      <w:r>
        <w:rPr>
          <w:sz w:val="20"/>
          <w:szCs w:val="20"/>
        </w:rPr>
        <w:t xml:space="preserve"> and ensuring their adherence and retention. The program is expected to bank on identifying sexual networks, scaling up self-testing and achieving scale and fidelity with partner notification. New KP friendly or dedicated treatment centers would be created in the urban areas of Nairobi, </w:t>
      </w:r>
      <w:proofErr w:type="gramStart"/>
      <w:r>
        <w:rPr>
          <w:sz w:val="20"/>
          <w:szCs w:val="20"/>
        </w:rPr>
        <w:t>Kisumu</w:t>
      </w:r>
      <w:proofErr w:type="gramEnd"/>
      <w:r>
        <w:rPr>
          <w:sz w:val="20"/>
          <w:szCs w:val="20"/>
        </w:rPr>
        <w:t xml:space="preserve"> and Mombasa. KP programming will also be concentrated on higher burden counties with a heightened focus on MSM (USAID, 2020). </w:t>
      </w:r>
    </w:p>
    <w:p w14:paraId="41F51E03" w14:textId="77777777" w:rsidR="00086021" w:rsidRPr="0055011C" w:rsidRDefault="009E19AB">
      <w:pPr>
        <w:pStyle w:val="Figure"/>
        <w:rPr>
          <w:b/>
          <w:bCs/>
          <w:sz w:val="18"/>
          <w:szCs w:val="18"/>
        </w:rPr>
      </w:pPr>
      <w:bookmarkStart w:id="39" w:name="_Toc56998960"/>
      <w:r w:rsidRPr="0055011C">
        <w:rPr>
          <w:b/>
          <w:bCs/>
          <w:sz w:val="18"/>
          <w:szCs w:val="18"/>
        </w:rPr>
        <w:t>Table 2: Equity Dimensions in Healthcare Services for KPs and AGYW in Kenya</w:t>
      </w:r>
      <w:bookmarkEnd w:id="39"/>
    </w:p>
    <w:tbl>
      <w:tblPr>
        <w:tblW w:w="9016" w:type="dxa"/>
        <w:tblCellMar>
          <w:top w:w="115" w:type="dxa"/>
          <w:left w:w="115" w:type="dxa"/>
          <w:right w:w="115" w:type="dxa"/>
        </w:tblCellMar>
        <w:tblLook w:val="04A0" w:firstRow="1" w:lastRow="0" w:firstColumn="1" w:lastColumn="0" w:noHBand="0" w:noVBand="1"/>
      </w:tblPr>
      <w:tblGrid>
        <w:gridCol w:w="1128"/>
        <w:gridCol w:w="7888"/>
      </w:tblGrid>
      <w:tr w:rsidR="00086021" w14:paraId="1A5C4592" w14:textId="77777777" w:rsidTr="003729E7">
        <w:trPr>
          <w:tblHeader/>
        </w:trPr>
        <w:tc>
          <w:tcPr>
            <w:tcW w:w="1128" w:type="dxa"/>
            <w:tcBorders>
              <w:top w:val="single" w:sz="4" w:space="0" w:color="297FD5"/>
              <w:left w:val="single" w:sz="4" w:space="0" w:color="297FD5"/>
              <w:bottom w:val="single" w:sz="4" w:space="0" w:color="297FD5"/>
            </w:tcBorders>
            <w:shd w:val="clear" w:color="auto" w:fill="C9211E"/>
          </w:tcPr>
          <w:p w14:paraId="738D2F36" w14:textId="77777777" w:rsidR="00086021" w:rsidRDefault="009E19AB">
            <w:pPr>
              <w:pStyle w:val="BodyText"/>
              <w:jc w:val="center"/>
              <w:rPr>
                <w:color w:val="FEFEFE"/>
                <w:sz w:val="20"/>
                <w:szCs w:val="20"/>
              </w:rPr>
            </w:pPr>
            <w:r>
              <w:rPr>
                <w:color w:val="FEFEFE"/>
                <w:sz w:val="20"/>
                <w:szCs w:val="20"/>
              </w:rPr>
              <w:t>Group</w:t>
            </w:r>
          </w:p>
        </w:tc>
        <w:tc>
          <w:tcPr>
            <w:tcW w:w="7888" w:type="dxa"/>
            <w:tcBorders>
              <w:top w:val="single" w:sz="4" w:space="0" w:color="297FD5"/>
              <w:left w:val="single" w:sz="4" w:space="0" w:color="297FD5"/>
              <w:bottom w:val="single" w:sz="4" w:space="0" w:color="297FD5"/>
              <w:right w:val="single" w:sz="4" w:space="0" w:color="297FD5"/>
            </w:tcBorders>
            <w:shd w:val="clear" w:color="auto" w:fill="C9211E"/>
          </w:tcPr>
          <w:p w14:paraId="0A592E92" w14:textId="77777777" w:rsidR="00086021" w:rsidRDefault="009E19AB">
            <w:pPr>
              <w:pStyle w:val="BodyText"/>
              <w:jc w:val="center"/>
              <w:rPr>
                <w:color w:val="FEFEFE"/>
                <w:sz w:val="20"/>
                <w:szCs w:val="20"/>
              </w:rPr>
            </w:pPr>
            <w:r>
              <w:rPr>
                <w:color w:val="FEFEFE"/>
                <w:sz w:val="20"/>
                <w:szCs w:val="20"/>
              </w:rPr>
              <w:t>Equity Perspective</w:t>
            </w:r>
          </w:p>
        </w:tc>
      </w:tr>
      <w:tr w:rsidR="00086021" w14:paraId="0A767150" w14:textId="77777777" w:rsidTr="003729E7">
        <w:tc>
          <w:tcPr>
            <w:tcW w:w="1128" w:type="dxa"/>
            <w:tcBorders>
              <w:top w:val="single" w:sz="4" w:space="0" w:color="7EB1E6"/>
              <w:left w:val="single" w:sz="4" w:space="0" w:color="7EB1E6"/>
              <w:bottom w:val="single" w:sz="4" w:space="0" w:color="7EB1E6"/>
            </w:tcBorders>
          </w:tcPr>
          <w:p w14:paraId="60E5C429" w14:textId="77777777" w:rsidR="00086021" w:rsidRDefault="009E19AB">
            <w:pPr>
              <w:pStyle w:val="BodyText"/>
              <w:rPr>
                <w:sz w:val="20"/>
                <w:szCs w:val="20"/>
              </w:rPr>
            </w:pPr>
            <w:r>
              <w:rPr>
                <w:sz w:val="20"/>
                <w:szCs w:val="20"/>
              </w:rPr>
              <w:t>MSM</w:t>
            </w:r>
          </w:p>
        </w:tc>
        <w:tc>
          <w:tcPr>
            <w:tcW w:w="7888" w:type="dxa"/>
            <w:tcBorders>
              <w:top w:val="single" w:sz="4" w:space="0" w:color="7EB1E6"/>
              <w:left w:val="single" w:sz="4" w:space="0" w:color="7EB1E6"/>
              <w:bottom w:val="single" w:sz="4" w:space="0" w:color="7EB1E6"/>
              <w:right w:val="single" w:sz="4" w:space="0" w:color="7EB1E6"/>
            </w:tcBorders>
          </w:tcPr>
          <w:p w14:paraId="69A335BA" w14:textId="77777777" w:rsidR="00086021" w:rsidRDefault="009E19AB" w:rsidP="003729E7">
            <w:pPr>
              <w:pStyle w:val="BodyText"/>
              <w:numPr>
                <w:ilvl w:val="0"/>
                <w:numId w:val="14"/>
              </w:numPr>
              <w:spacing w:line="240" w:lineRule="auto"/>
              <w:jc w:val="both"/>
              <w:rPr>
                <w:sz w:val="20"/>
                <w:szCs w:val="20"/>
              </w:rPr>
            </w:pPr>
            <w:r>
              <w:rPr>
                <w:sz w:val="20"/>
                <w:szCs w:val="20"/>
              </w:rPr>
              <w:t>Illegal in Kenya vide Section 162 of the Kenyan Penal Code</w:t>
            </w:r>
          </w:p>
          <w:p w14:paraId="355122CC" w14:textId="77777777" w:rsidR="00086021" w:rsidRDefault="009E19AB" w:rsidP="003729E7">
            <w:pPr>
              <w:pStyle w:val="BodyText"/>
              <w:numPr>
                <w:ilvl w:val="0"/>
                <w:numId w:val="14"/>
              </w:numPr>
              <w:spacing w:line="240" w:lineRule="auto"/>
              <w:jc w:val="both"/>
              <w:rPr>
                <w:sz w:val="20"/>
                <w:szCs w:val="20"/>
              </w:rPr>
            </w:pPr>
            <w:r>
              <w:rPr>
                <w:sz w:val="20"/>
                <w:szCs w:val="20"/>
              </w:rPr>
              <w:t>Kenya Aids Strategic Framework (KASF) 2014-2019 recognizes them as vulnerable</w:t>
            </w:r>
          </w:p>
          <w:p w14:paraId="04B0BA1D" w14:textId="77777777" w:rsidR="00086021" w:rsidRDefault="009E19AB" w:rsidP="003729E7">
            <w:pPr>
              <w:pStyle w:val="BodyText"/>
              <w:numPr>
                <w:ilvl w:val="0"/>
                <w:numId w:val="14"/>
              </w:numPr>
              <w:spacing w:line="240" w:lineRule="auto"/>
              <w:jc w:val="both"/>
              <w:rPr>
                <w:sz w:val="20"/>
                <w:szCs w:val="20"/>
              </w:rPr>
            </w:pPr>
            <w:r>
              <w:rPr>
                <w:sz w:val="20"/>
                <w:szCs w:val="20"/>
              </w:rPr>
              <w:t>Medical care: Free HIV drugs, Condoms, Lubricants, HPV Screening, STI treatment, and education on HIV (Moyer &amp; Igonya, 2018)</w:t>
            </w:r>
          </w:p>
          <w:p w14:paraId="0AE0A163" w14:textId="77777777" w:rsidR="00086021" w:rsidRDefault="009E19AB" w:rsidP="003729E7">
            <w:pPr>
              <w:pStyle w:val="BodyText"/>
              <w:numPr>
                <w:ilvl w:val="0"/>
                <w:numId w:val="14"/>
              </w:numPr>
              <w:spacing w:line="240" w:lineRule="auto"/>
              <w:jc w:val="both"/>
              <w:rPr>
                <w:sz w:val="20"/>
                <w:szCs w:val="20"/>
              </w:rPr>
            </w:pPr>
            <w:r>
              <w:rPr>
                <w:sz w:val="20"/>
                <w:szCs w:val="20"/>
              </w:rPr>
              <w:t>NASCOP responsible for oversight and implementation of MSM care services.</w:t>
            </w:r>
          </w:p>
          <w:p w14:paraId="669C04F1" w14:textId="77777777" w:rsidR="00086021" w:rsidRDefault="009E19AB" w:rsidP="003729E7">
            <w:pPr>
              <w:pStyle w:val="BodyText"/>
              <w:numPr>
                <w:ilvl w:val="0"/>
                <w:numId w:val="14"/>
              </w:numPr>
              <w:spacing w:line="240" w:lineRule="auto"/>
              <w:jc w:val="both"/>
              <w:rPr>
                <w:sz w:val="20"/>
                <w:szCs w:val="20"/>
              </w:rPr>
            </w:pPr>
            <w:r>
              <w:rPr>
                <w:sz w:val="20"/>
                <w:szCs w:val="20"/>
              </w:rPr>
              <w:t>Donors include the Swedish International Development Cooperation agency, the United States President’s Emergency Plan for AIDS Relief (PEPFAR) and USAID</w:t>
            </w:r>
          </w:p>
        </w:tc>
      </w:tr>
      <w:tr w:rsidR="00086021" w14:paraId="20A13589" w14:textId="77777777" w:rsidTr="003729E7">
        <w:tc>
          <w:tcPr>
            <w:tcW w:w="1128" w:type="dxa"/>
            <w:tcBorders>
              <w:left w:val="single" w:sz="4" w:space="0" w:color="7EB1E6"/>
              <w:bottom w:val="single" w:sz="4" w:space="0" w:color="7EB1E6"/>
            </w:tcBorders>
          </w:tcPr>
          <w:p w14:paraId="7CE5C2C8" w14:textId="77777777" w:rsidR="00086021" w:rsidRDefault="009E19AB">
            <w:pPr>
              <w:pStyle w:val="BodyText"/>
              <w:rPr>
                <w:sz w:val="20"/>
                <w:szCs w:val="20"/>
              </w:rPr>
            </w:pPr>
            <w:r>
              <w:rPr>
                <w:sz w:val="20"/>
                <w:szCs w:val="20"/>
              </w:rPr>
              <w:t>PWIDs</w:t>
            </w:r>
          </w:p>
        </w:tc>
        <w:tc>
          <w:tcPr>
            <w:tcW w:w="7888" w:type="dxa"/>
            <w:tcBorders>
              <w:left w:val="single" w:sz="4" w:space="0" w:color="7EB1E6"/>
              <w:bottom w:val="single" w:sz="4" w:space="0" w:color="7EB1E6"/>
              <w:right w:val="single" w:sz="4" w:space="0" w:color="7EB1E6"/>
            </w:tcBorders>
          </w:tcPr>
          <w:p w14:paraId="156E5FC1" w14:textId="77777777" w:rsidR="00086021" w:rsidRDefault="009E19AB" w:rsidP="003729E7">
            <w:pPr>
              <w:pStyle w:val="BodyText"/>
              <w:numPr>
                <w:ilvl w:val="0"/>
                <w:numId w:val="14"/>
              </w:numPr>
              <w:spacing w:line="240" w:lineRule="auto"/>
              <w:jc w:val="both"/>
              <w:rPr>
                <w:sz w:val="20"/>
                <w:szCs w:val="20"/>
              </w:rPr>
            </w:pPr>
            <w:r>
              <w:rPr>
                <w:sz w:val="20"/>
                <w:szCs w:val="20"/>
              </w:rPr>
              <w:t>Illegal in Kenya vide the Kenya Narcotic Drugs and Psychotropic Substances Control Act, 1994.</w:t>
            </w:r>
          </w:p>
          <w:p w14:paraId="465C3492" w14:textId="77777777" w:rsidR="00086021" w:rsidRDefault="009E19AB" w:rsidP="003729E7">
            <w:pPr>
              <w:pStyle w:val="BodyText"/>
              <w:numPr>
                <w:ilvl w:val="0"/>
                <w:numId w:val="14"/>
              </w:numPr>
              <w:spacing w:line="240" w:lineRule="auto"/>
              <w:jc w:val="both"/>
              <w:rPr>
                <w:sz w:val="20"/>
                <w:szCs w:val="20"/>
              </w:rPr>
            </w:pPr>
            <w:r>
              <w:rPr>
                <w:sz w:val="20"/>
                <w:szCs w:val="20"/>
              </w:rPr>
              <w:t>Kenya Aids Strategic Framework (KASF) 2014-2019 recognizes them as vulnerable.</w:t>
            </w:r>
          </w:p>
          <w:p w14:paraId="5A59AD7D" w14:textId="77777777" w:rsidR="00086021" w:rsidRDefault="009E19AB" w:rsidP="003729E7">
            <w:pPr>
              <w:pStyle w:val="BodyText"/>
              <w:numPr>
                <w:ilvl w:val="0"/>
                <w:numId w:val="14"/>
              </w:numPr>
              <w:spacing w:line="240" w:lineRule="auto"/>
              <w:jc w:val="both"/>
              <w:rPr>
                <w:sz w:val="20"/>
                <w:szCs w:val="20"/>
              </w:rPr>
            </w:pPr>
            <w:r>
              <w:rPr>
                <w:sz w:val="20"/>
                <w:szCs w:val="20"/>
              </w:rPr>
              <w:t>Harm reduction programs: Needle and Syringe Exchange Programs (NSEP), Opioid Substitution Program (OSP), screening and management of Hepatitis B and C, STI testing &amp; treatment, HIV testing, Drug dependence counselling, Patient Education, substance treatment and rehabilitation services (UHC &amp; NHIF)</w:t>
            </w:r>
          </w:p>
          <w:p w14:paraId="3D617631" w14:textId="77777777" w:rsidR="00086021" w:rsidRDefault="009E19AB" w:rsidP="003729E7">
            <w:pPr>
              <w:pStyle w:val="BodyText"/>
              <w:numPr>
                <w:ilvl w:val="0"/>
                <w:numId w:val="14"/>
              </w:numPr>
              <w:spacing w:line="240" w:lineRule="auto"/>
              <w:jc w:val="both"/>
              <w:rPr>
                <w:sz w:val="20"/>
                <w:szCs w:val="20"/>
              </w:rPr>
            </w:pPr>
            <w:r>
              <w:rPr>
                <w:sz w:val="20"/>
                <w:szCs w:val="20"/>
              </w:rPr>
              <w:t xml:space="preserve">NACC and NASCOP responsible for policy, </w:t>
            </w:r>
            <w:proofErr w:type="gramStart"/>
            <w:r>
              <w:rPr>
                <w:sz w:val="20"/>
                <w:szCs w:val="20"/>
              </w:rPr>
              <w:t>oversight</w:t>
            </w:r>
            <w:proofErr w:type="gramEnd"/>
            <w:r>
              <w:rPr>
                <w:sz w:val="20"/>
                <w:szCs w:val="20"/>
              </w:rPr>
              <w:t xml:space="preserve"> and implementation of MSM care services.</w:t>
            </w:r>
          </w:p>
          <w:p w14:paraId="5F001136" w14:textId="77777777" w:rsidR="00086021" w:rsidRDefault="009E19AB" w:rsidP="003729E7">
            <w:pPr>
              <w:pStyle w:val="BodyText"/>
              <w:numPr>
                <w:ilvl w:val="0"/>
                <w:numId w:val="14"/>
              </w:numPr>
              <w:spacing w:line="240" w:lineRule="auto"/>
              <w:jc w:val="both"/>
              <w:rPr>
                <w:sz w:val="20"/>
                <w:szCs w:val="20"/>
              </w:rPr>
            </w:pPr>
            <w:r>
              <w:rPr>
                <w:sz w:val="20"/>
                <w:szCs w:val="20"/>
              </w:rPr>
              <w:t>Donors include Global Fund, PEPFAR, Mainline Foundation, Community Action on Harm Reduction.</w:t>
            </w:r>
          </w:p>
        </w:tc>
      </w:tr>
      <w:tr w:rsidR="00086021" w14:paraId="1F18AE3C" w14:textId="77777777" w:rsidTr="003729E7">
        <w:trPr>
          <w:trHeight w:val="1019"/>
        </w:trPr>
        <w:tc>
          <w:tcPr>
            <w:tcW w:w="1128" w:type="dxa"/>
            <w:tcBorders>
              <w:left w:val="single" w:sz="4" w:space="0" w:color="7EB1E6"/>
              <w:bottom w:val="single" w:sz="4" w:space="0" w:color="7EB1E6"/>
            </w:tcBorders>
          </w:tcPr>
          <w:p w14:paraId="638F9857" w14:textId="77777777" w:rsidR="00086021" w:rsidRDefault="009E19AB">
            <w:pPr>
              <w:pStyle w:val="BodyText"/>
              <w:rPr>
                <w:sz w:val="20"/>
                <w:szCs w:val="20"/>
              </w:rPr>
            </w:pPr>
            <w:r>
              <w:rPr>
                <w:sz w:val="20"/>
                <w:szCs w:val="20"/>
              </w:rPr>
              <w:t>FSW</w:t>
            </w:r>
          </w:p>
        </w:tc>
        <w:tc>
          <w:tcPr>
            <w:tcW w:w="7888" w:type="dxa"/>
            <w:tcBorders>
              <w:left w:val="single" w:sz="4" w:space="0" w:color="7EB1E6"/>
              <w:bottom w:val="single" w:sz="4" w:space="0" w:color="7EB1E6"/>
              <w:right w:val="single" w:sz="4" w:space="0" w:color="7EB1E6"/>
            </w:tcBorders>
          </w:tcPr>
          <w:p w14:paraId="16D43E10" w14:textId="77777777" w:rsidR="00086021" w:rsidRDefault="009E19AB" w:rsidP="003729E7">
            <w:pPr>
              <w:pStyle w:val="BodyText"/>
              <w:numPr>
                <w:ilvl w:val="0"/>
                <w:numId w:val="15"/>
              </w:numPr>
              <w:spacing w:line="240" w:lineRule="auto"/>
              <w:jc w:val="both"/>
              <w:rPr>
                <w:sz w:val="20"/>
                <w:szCs w:val="20"/>
              </w:rPr>
            </w:pPr>
            <w:r>
              <w:rPr>
                <w:sz w:val="20"/>
                <w:szCs w:val="20"/>
              </w:rPr>
              <w:t xml:space="preserve">Though sex work is not classified as illegal by the Kenya Penal Code, the law criminalizes parties who live on the earnings of prostitution and those who solicit or importune for immoral purposes (Kenya Penal Code Section 151-156). </w:t>
            </w:r>
          </w:p>
          <w:p w14:paraId="675DBA56" w14:textId="77777777" w:rsidR="00086021" w:rsidRDefault="009E19AB" w:rsidP="003729E7">
            <w:pPr>
              <w:pStyle w:val="BodyText"/>
              <w:numPr>
                <w:ilvl w:val="0"/>
                <w:numId w:val="15"/>
              </w:numPr>
              <w:spacing w:line="240" w:lineRule="auto"/>
              <w:jc w:val="both"/>
              <w:rPr>
                <w:sz w:val="20"/>
                <w:szCs w:val="20"/>
              </w:rPr>
            </w:pPr>
            <w:r>
              <w:rPr>
                <w:sz w:val="20"/>
                <w:szCs w:val="20"/>
              </w:rPr>
              <w:t>County specific by-laws in some municipalities such as Nairobi, Kisumu and Mombasa criminalize it (FIDA Kenya, 2008; KELIN, 2016).</w:t>
            </w:r>
          </w:p>
          <w:p w14:paraId="11C25CDF" w14:textId="77777777" w:rsidR="00086021" w:rsidRDefault="009E19AB" w:rsidP="003729E7">
            <w:pPr>
              <w:pStyle w:val="BodyText"/>
              <w:numPr>
                <w:ilvl w:val="0"/>
                <w:numId w:val="15"/>
              </w:numPr>
              <w:spacing w:line="240" w:lineRule="auto"/>
              <w:jc w:val="both"/>
              <w:rPr>
                <w:sz w:val="20"/>
                <w:szCs w:val="20"/>
              </w:rPr>
            </w:pPr>
            <w:r>
              <w:rPr>
                <w:sz w:val="20"/>
                <w:szCs w:val="20"/>
              </w:rPr>
              <w:t>Kenya Aids Strategic Framework (KASF) 2014-2019 recognizes them as vulnerable.</w:t>
            </w:r>
          </w:p>
          <w:p w14:paraId="68719281" w14:textId="77777777" w:rsidR="00086021" w:rsidRDefault="009E19AB" w:rsidP="003729E7">
            <w:pPr>
              <w:pStyle w:val="BodyText"/>
              <w:numPr>
                <w:ilvl w:val="0"/>
                <w:numId w:val="15"/>
              </w:numPr>
              <w:spacing w:line="240" w:lineRule="auto"/>
              <w:jc w:val="both"/>
              <w:rPr>
                <w:sz w:val="20"/>
                <w:szCs w:val="20"/>
              </w:rPr>
            </w:pPr>
            <w:r>
              <w:rPr>
                <w:sz w:val="20"/>
                <w:szCs w:val="20"/>
              </w:rPr>
              <w:t>Medical care: Free HIV drugs, Condoms, HPV Screening, STI treatment, and education on HIV (Moyer &amp; Igonya, 2018)</w:t>
            </w:r>
          </w:p>
          <w:p w14:paraId="680E413E" w14:textId="77777777" w:rsidR="00086021" w:rsidRDefault="00086021" w:rsidP="003729E7">
            <w:pPr>
              <w:pStyle w:val="BodyText"/>
              <w:spacing w:line="240" w:lineRule="auto"/>
              <w:jc w:val="both"/>
              <w:rPr>
                <w:sz w:val="20"/>
                <w:szCs w:val="20"/>
              </w:rPr>
            </w:pPr>
          </w:p>
          <w:p w14:paraId="05E9D453" w14:textId="77777777" w:rsidR="00086021" w:rsidRDefault="009E19AB" w:rsidP="003729E7">
            <w:pPr>
              <w:pStyle w:val="BodyText"/>
              <w:numPr>
                <w:ilvl w:val="0"/>
                <w:numId w:val="15"/>
              </w:numPr>
              <w:spacing w:line="240" w:lineRule="auto"/>
              <w:jc w:val="both"/>
              <w:rPr>
                <w:sz w:val="20"/>
                <w:szCs w:val="20"/>
              </w:rPr>
            </w:pPr>
            <w:r>
              <w:rPr>
                <w:sz w:val="20"/>
                <w:szCs w:val="20"/>
              </w:rPr>
              <w:lastRenderedPageBreak/>
              <w:t xml:space="preserve">NACC and NASCOP responsible for policy, </w:t>
            </w:r>
            <w:proofErr w:type="gramStart"/>
            <w:r>
              <w:rPr>
                <w:sz w:val="20"/>
                <w:szCs w:val="20"/>
              </w:rPr>
              <w:t>oversight</w:t>
            </w:r>
            <w:proofErr w:type="gramEnd"/>
            <w:r>
              <w:rPr>
                <w:sz w:val="20"/>
                <w:szCs w:val="20"/>
              </w:rPr>
              <w:t xml:space="preserve"> and implementation of MSM care services.</w:t>
            </w:r>
          </w:p>
          <w:p w14:paraId="76831DBC" w14:textId="77777777" w:rsidR="00086021" w:rsidRDefault="009E19AB" w:rsidP="003729E7">
            <w:pPr>
              <w:pStyle w:val="BodyText"/>
              <w:numPr>
                <w:ilvl w:val="0"/>
                <w:numId w:val="15"/>
              </w:numPr>
              <w:spacing w:line="240" w:lineRule="auto"/>
              <w:jc w:val="both"/>
              <w:rPr>
                <w:sz w:val="20"/>
                <w:szCs w:val="20"/>
              </w:rPr>
            </w:pPr>
            <w:r>
              <w:rPr>
                <w:sz w:val="20"/>
                <w:szCs w:val="20"/>
              </w:rPr>
              <w:t>Donors include Global Fund, PEPFAR, USAID</w:t>
            </w:r>
          </w:p>
        </w:tc>
      </w:tr>
      <w:tr w:rsidR="00086021" w14:paraId="02247895" w14:textId="77777777" w:rsidTr="003729E7">
        <w:tc>
          <w:tcPr>
            <w:tcW w:w="1128" w:type="dxa"/>
            <w:tcBorders>
              <w:left w:val="single" w:sz="4" w:space="0" w:color="7EB1E6"/>
              <w:bottom w:val="single" w:sz="4" w:space="0" w:color="7EB1E6"/>
            </w:tcBorders>
          </w:tcPr>
          <w:p w14:paraId="10E0EDDF" w14:textId="77777777" w:rsidR="00086021" w:rsidRDefault="009E19AB">
            <w:pPr>
              <w:pStyle w:val="BodyText"/>
              <w:rPr>
                <w:sz w:val="20"/>
                <w:szCs w:val="20"/>
              </w:rPr>
            </w:pPr>
            <w:r>
              <w:rPr>
                <w:sz w:val="20"/>
                <w:szCs w:val="20"/>
              </w:rPr>
              <w:lastRenderedPageBreak/>
              <w:t>AGYW</w:t>
            </w:r>
          </w:p>
        </w:tc>
        <w:tc>
          <w:tcPr>
            <w:tcW w:w="7888" w:type="dxa"/>
            <w:tcBorders>
              <w:left w:val="single" w:sz="4" w:space="0" w:color="7EB1E6"/>
              <w:bottom w:val="single" w:sz="4" w:space="0" w:color="7EB1E6"/>
              <w:right w:val="single" w:sz="4" w:space="0" w:color="7EB1E6"/>
            </w:tcBorders>
          </w:tcPr>
          <w:p w14:paraId="20122EB9" w14:textId="77777777" w:rsidR="00086021" w:rsidRDefault="009E19AB" w:rsidP="003729E7">
            <w:pPr>
              <w:pStyle w:val="BodyText"/>
              <w:numPr>
                <w:ilvl w:val="0"/>
                <w:numId w:val="15"/>
              </w:numPr>
              <w:spacing w:line="240" w:lineRule="auto"/>
              <w:jc w:val="both"/>
              <w:rPr>
                <w:sz w:val="20"/>
                <w:szCs w:val="20"/>
              </w:rPr>
            </w:pPr>
            <w:r>
              <w:rPr>
                <w:sz w:val="20"/>
                <w:szCs w:val="20"/>
              </w:rPr>
              <w:t>Kenya Aids Strategic Framework (KASF) 2014-2019 recognizes them as vulnerable.</w:t>
            </w:r>
          </w:p>
          <w:p w14:paraId="74973736" w14:textId="77777777" w:rsidR="00086021" w:rsidRDefault="009E19AB" w:rsidP="003729E7">
            <w:pPr>
              <w:pStyle w:val="BodyText"/>
              <w:numPr>
                <w:ilvl w:val="0"/>
                <w:numId w:val="15"/>
              </w:numPr>
              <w:spacing w:line="240" w:lineRule="auto"/>
              <w:jc w:val="both"/>
              <w:rPr>
                <w:sz w:val="20"/>
                <w:szCs w:val="20"/>
              </w:rPr>
            </w:pPr>
            <w:r>
              <w:rPr>
                <w:sz w:val="20"/>
                <w:szCs w:val="20"/>
              </w:rPr>
              <w:t>Services: HPV screening and treatment, sexual health services, contraceptives such as condoms, youth friendly clinics, PrEP, cash transfers for economic empowerment, maternity care etc.</w:t>
            </w:r>
          </w:p>
          <w:p w14:paraId="682E01CF" w14:textId="77777777" w:rsidR="00086021" w:rsidRDefault="009E19AB" w:rsidP="003729E7">
            <w:pPr>
              <w:pStyle w:val="BodyText"/>
              <w:numPr>
                <w:ilvl w:val="0"/>
                <w:numId w:val="15"/>
              </w:numPr>
              <w:spacing w:line="240" w:lineRule="auto"/>
              <w:jc w:val="both"/>
              <w:rPr>
                <w:sz w:val="20"/>
                <w:szCs w:val="20"/>
              </w:rPr>
            </w:pPr>
            <w:r>
              <w:rPr>
                <w:sz w:val="20"/>
                <w:szCs w:val="20"/>
              </w:rPr>
              <w:t>Programs: DREAMS (Determined, Resilient, Empowered, AIDS-free, Mentored and Safe), Linda Mama, EduAfya</w:t>
            </w:r>
          </w:p>
          <w:p w14:paraId="48085151" w14:textId="77777777" w:rsidR="00086021" w:rsidRDefault="009E19AB" w:rsidP="003729E7">
            <w:pPr>
              <w:pStyle w:val="BodyText"/>
              <w:numPr>
                <w:ilvl w:val="0"/>
                <w:numId w:val="15"/>
              </w:numPr>
              <w:spacing w:line="240" w:lineRule="auto"/>
              <w:jc w:val="both"/>
              <w:rPr>
                <w:sz w:val="20"/>
                <w:szCs w:val="20"/>
              </w:rPr>
            </w:pPr>
            <w:r>
              <w:rPr>
                <w:sz w:val="20"/>
                <w:szCs w:val="20"/>
              </w:rPr>
              <w:t>Donors include PEPFAR, Global Fund</w:t>
            </w:r>
          </w:p>
        </w:tc>
      </w:tr>
    </w:tbl>
    <w:p w14:paraId="4C328BAC" w14:textId="77777777" w:rsidR="00086021" w:rsidRDefault="00086021"/>
    <w:p w14:paraId="4A253162" w14:textId="77777777" w:rsidR="00086021" w:rsidRDefault="009E19AB">
      <w:r>
        <w:rPr>
          <w:noProof/>
        </w:rPr>
        <mc:AlternateContent>
          <mc:Choice Requires="wps">
            <w:drawing>
              <wp:anchor distT="0" distB="0" distL="0" distR="0" simplePos="0" relativeHeight="50" behindDoc="1" locked="0" layoutInCell="1" allowOverlap="1" wp14:anchorId="5B67183F" wp14:editId="450D2F82">
                <wp:simplePos x="0" y="0"/>
                <wp:positionH relativeFrom="column">
                  <wp:posOffset>13335</wp:posOffset>
                </wp:positionH>
                <wp:positionV relativeFrom="paragraph">
                  <wp:posOffset>53340</wp:posOffset>
                </wp:positionV>
                <wp:extent cx="5720080" cy="1364615"/>
                <wp:effectExtent l="0" t="0" r="0" b="0"/>
                <wp:wrapNone/>
                <wp:docPr id="46" name="Shape2_22"/>
                <wp:cNvGraphicFramePr/>
                <a:graphic xmlns:a="http://schemas.openxmlformats.org/drawingml/2006/main">
                  <a:graphicData uri="http://schemas.microsoft.com/office/word/2010/wordprocessingShape">
                    <wps:wsp>
                      <wps:cNvSpPr/>
                      <wps:spPr>
                        <a:xfrm>
                          <a:off x="0" y="0"/>
                          <a:ext cx="5719320" cy="1364040"/>
                        </a:xfrm>
                        <a:prstGeom prst="rect">
                          <a:avLst/>
                        </a:prstGeom>
                        <a:solidFill>
                          <a:srgbClr val="C9211E">
                            <a:alpha val="15000"/>
                          </a:srgbClr>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6B677AD5" id="Shape2_22" o:spid="_x0000_s1026" style="position:absolute;margin-left:1.05pt;margin-top:4.2pt;width:450.4pt;height:107.45pt;z-index:-50331643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" fillcolor="#c9211e" stroked="f">
                <v:fill opacity="9766f"/>
              </v:rect>
            </w:pict>
          </mc:Fallback>
        </mc:AlternateContent>
      </w:r>
    </w:p>
    <w:p w14:paraId="0FE45CAA" w14:textId="77777777" w:rsidR="00086021" w:rsidRDefault="00086021"/>
    <w:p w14:paraId="46C393FD" w14:textId="77777777" w:rsidR="00086021" w:rsidRDefault="009E19AB">
      <w:pPr>
        <w:pStyle w:val="BodyText"/>
        <w:ind w:left="540" w:right="360"/>
        <w:rPr>
          <w:sz w:val="20"/>
          <w:szCs w:val="20"/>
        </w:rPr>
      </w:pPr>
      <w:r>
        <w:rPr>
          <w:b/>
          <w:bCs/>
          <w:sz w:val="24"/>
        </w:rPr>
        <w:t>Advocacy Opportunity for Prioritization of KP and AGYW Services</w:t>
      </w:r>
      <w:r>
        <w:rPr>
          <w:sz w:val="20"/>
          <w:szCs w:val="20"/>
        </w:rPr>
        <w:t xml:space="preserve"> </w:t>
      </w:r>
    </w:p>
    <w:p w14:paraId="58112D85" w14:textId="77777777" w:rsidR="00086021" w:rsidRDefault="009E19AB">
      <w:pPr>
        <w:pStyle w:val="BodyText"/>
        <w:ind w:left="540" w:right="360"/>
        <w:rPr>
          <w:sz w:val="20"/>
          <w:szCs w:val="20"/>
        </w:rPr>
      </w:pPr>
      <w:r>
        <w:rPr>
          <w:sz w:val="20"/>
          <w:szCs w:val="20"/>
        </w:rPr>
        <w:t xml:space="preserve">The recognition and inclusion of KP and AGYWs within the MOH policies such as the </w:t>
      </w:r>
      <w:r>
        <w:rPr>
          <w:rFonts w:eastAsia="Abadi Extra Light" w:cs="Abadi Extra Light"/>
          <w:sz w:val="20"/>
          <w:szCs w:val="20"/>
        </w:rPr>
        <w:t>Kenya Aids Strategic Framework (</w:t>
      </w:r>
      <w:r>
        <w:rPr>
          <w:sz w:val="20"/>
          <w:szCs w:val="20"/>
        </w:rPr>
        <w:t>KASF) 2014-2019 provides an entry point for sustained advocacy for increased visibility and prioritization of KP and AGYWs agenda in the policy environment.</w:t>
      </w:r>
    </w:p>
    <w:p w14:paraId="260C34A4" w14:textId="77777777" w:rsidR="00086021" w:rsidRDefault="00086021">
      <w:pPr>
        <w:pStyle w:val="BodyText"/>
        <w:rPr>
          <w:sz w:val="20"/>
          <w:szCs w:val="20"/>
        </w:rPr>
      </w:pPr>
    </w:p>
    <w:p w14:paraId="3D4C2B94" w14:textId="77777777" w:rsidR="00086021" w:rsidRDefault="00086021">
      <w:pPr>
        <w:pStyle w:val="BodyText"/>
        <w:rPr>
          <w:sz w:val="20"/>
          <w:szCs w:val="20"/>
        </w:rPr>
      </w:pPr>
    </w:p>
    <w:p w14:paraId="2E30A8DB" w14:textId="77777777" w:rsidR="00086021" w:rsidRDefault="00086021">
      <w:pPr>
        <w:pStyle w:val="BodyText"/>
        <w:rPr>
          <w:sz w:val="20"/>
          <w:szCs w:val="20"/>
        </w:rPr>
      </w:pPr>
    </w:p>
    <w:p w14:paraId="1BCA961A" w14:textId="77777777" w:rsidR="00086021" w:rsidRDefault="00086021"/>
    <w:p w14:paraId="45ED344B" w14:textId="77777777" w:rsidR="00086021" w:rsidRDefault="00086021"/>
    <w:p w14:paraId="34E6C204" w14:textId="77777777" w:rsidR="00086021" w:rsidRDefault="00086021"/>
    <w:p w14:paraId="13ADF0E4" w14:textId="77777777" w:rsidR="00086021" w:rsidRDefault="00086021"/>
    <w:p w14:paraId="12FF21B7" w14:textId="77777777" w:rsidR="00086021" w:rsidRDefault="00086021"/>
    <w:p w14:paraId="60BD1683" w14:textId="77777777" w:rsidR="00086021" w:rsidRDefault="00086021"/>
    <w:p w14:paraId="51157FCC" w14:textId="77777777" w:rsidR="00086021" w:rsidRDefault="00086021"/>
    <w:p w14:paraId="40D497A4" w14:textId="77777777" w:rsidR="00086021" w:rsidRDefault="00086021"/>
    <w:p w14:paraId="36CA42F3" w14:textId="77777777" w:rsidR="00086021" w:rsidRDefault="00086021"/>
    <w:p w14:paraId="08772BFD" w14:textId="77777777" w:rsidR="00086021" w:rsidRDefault="00086021"/>
    <w:p w14:paraId="5EDF35DE" w14:textId="77777777" w:rsidR="00086021" w:rsidRDefault="00086021"/>
    <w:p w14:paraId="34225EE4" w14:textId="77777777" w:rsidR="00086021" w:rsidRDefault="00086021"/>
    <w:p w14:paraId="259F111E" w14:textId="77777777" w:rsidR="00086021" w:rsidRDefault="00086021"/>
    <w:p w14:paraId="62607FE4" w14:textId="77777777" w:rsidR="00086021" w:rsidRDefault="00086021"/>
    <w:p w14:paraId="2B173F6C" w14:textId="77777777" w:rsidR="00086021" w:rsidRDefault="00086021"/>
    <w:p w14:paraId="35E8D3CC" w14:textId="77777777" w:rsidR="00086021" w:rsidRDefault="00086021"/>
    <w:p w14:paraId="4012107A" w14:textId="77777777" w:rsidR="00086021" w:rsidRDefault="00086021"/>
    <w:p w14:paraId="100EEA38" w14:textId="77777777" w:rsidR="00086021" w:rsidRDefault="00086021"/>
    <w:p w14:paraId="273C2E47" w14:textId="77777777" w:rsidR="00086021" w:rsidRDefault="00086021"/>
    <w:p w14:paraId="32FD540F" w14:textId="77777777" w:rsidR="00086021" w:rsidRDefault="00086021">
      <w:pPr>
        <w:sectPr w:rsidR="00086021">
          <w:headerReference w:type="default" r:id="rId47"/>
          <w:footerReference w:type="default" r:id="rId48"/>
          <w:footerReference w:type="first" r:id="rId49"/>
          <w:pgSz w:w="11906" w:h="16838"/>
          <w:pgMar w:top="1440" w:right="1440" w:bottom="1203" w:left="1440" w:header="0" w:footer="708" w:gutter="0"/>
          <w:cols w:space="720"/>
          <w:formProt w:val="0"/>
          <w:titlePg/>
          <w:docGrid w:linePitch="100" w:charSpace="12288"/>
        </w:sectPr>
      </w:pPr>
    </w:p>
    <w:p w14:paraId="3B8E8CF4" w14:textId="0510805E" w:rsidR="00086021" w:rsidRDefault="009E19AB">
      <w:pPr>
        <w:pStyle w:val="Heading4"/>
      </w:pPr>
      <w:bookmarkStart w:id="40" w:name="_Toc56997956"/>
      <w:r>
        <w:lastRenderedPageBreak/>
        <w:t>3.2.6. Accountability</w:t>
      </w:r>
      <w:bookmarkEnd w:id="40"/>
    </w:p>
    <w:p w14:paraId="6519517D" w14:textId="77777777" w:rsidR="0055011C" w:rsidRPr="0055011C" w:rsidRDefault="0055011C" w:rsidP="0055011C">
      <w:pPr>
        <w:rPr>
          <w:lang w:val="nl-NL"/>
        </w:rPr>
      </w:pPr>
    </w:p>
    <w:p w14:paraId="6A596150" w14:textId="2B620ED9" w:rsidR="00086021" w:rsidRDefault="009E19AB" w:rsidP="00B351D3">
      <w:pPr>
        <w:pStyle w:val="Figure"/>
      </w:pPr>
      <w:r w:rsidRPr="0055011C">
        <w:rPr>
          <w:b/>
          <w:bCs/>
          <w:sz w:val="20"/>
          <w:szCs w:val="20"/>
        </w:rPr>
        <w:t>Table 3: Accountability Systems for Health Financing in Kenya</w:t>
      </w:r>
    </w:p>
    <w:tbl>
      <w:tblPr>
        <w:tblW w:w="13900" w:type="dxa"/>
        <w:tblLook w:val="04A0" w:firstRow="1" w:lastRow="0" w:firstColumn="1" w:lastColumn="0" w:noHBand="0" w:noVBand="1"/>
      </w:tblPr>
      <w:tblGrid>
        <w:gridCol w:w="2580"/>
        <w:gridCol w:w="7196"/>
        <w:gridCol w:w="4124"/>
      </w:tblGrid>
      <w:tr w:rsidR="00B351D3" w:rsidRPr="00B351D3" w14:paraId="3F56241E" w14:textId="77777777" w:rsidTr="00B351D3">
        <w:trPr>
          <w:trHeight w:val="300"/>
        </w:trPr>
        <w:tc>
          <w:tcPr>
            <w:tcW w:w="13900" w:type="dxa"/>
            <w:gridSpan w:val="3"/>
            <w:tcBorders>
              <w:top w:val="single" w:sz="4" w:space="0" w:color="auto"/>
              <w:left w:val="single" w:sz="4" w:space="0" w:color="auto"/>
              <w:bottom w:val="single" w:sz="4" w:space="0" w:color="auto"/>
              <w:right w:val="single" w:sz="4" w:space="0" w:color="auto"/>
            </w:tcBorders>
            <w:shd w:val="clear" w:color="auto" w:fill="C00000"/>
            <w:noWrap/>
            <w:hideMark/>
          </w:tcPr>
          <w:p w14:paraId="33A0EAA2" w14:textId="77777777" w:rsidR="00B351D3" w:rsidRPr="00B351D3" w:rsidRDefault="00B351D3" w:rsidP="00B351D3">
            <w:pPr>
              <w:suppressAutoHyphens w:val="0"/>
              <w:jc w:val="center"/>
              <w:rPr>
                <w:rFonts w:ascii="Franklin Gothic Demi" w:eastAsia="Times New Roman" w:hAnsi="Franklin Gothic Demi" w:cs="Calibri"/>
                <w:color w:val="FFFFFF"/>
                <w:sz w:val="22"/>
                <w:szCs w:val="22"/>
                <w:lang w:val="en-KE" w:eastAsia="en-KE"/>
              </w:rPr>
            </w:pPr>
            <w:r w:rsidRPr="00B351D3">
              <w:rPr>
                <w:rFonts w:ascii="Franklin Gothic Demi" w:eastAsia="Times New Roman" w:hAnsi="Franklin Gothic Demi" w:cs="Calibri"/>
                <w:color w:val="FFFFFF"/>
                <w:sz w:val="22"/>
                <w:szCs w:val="22"/>
                <w:lang w:val="en-KE" w:eastAsia="en-KE"/>
              </w:rPr>
              <w:t>Accountability Systems for Public &amp; Health Finance in Kenya</w:t>
            </w:r>
          </w:p>
        </w:tc>
      </w:tr>
      <w:tr w:rsidR="00B351D3" w:rsidRPr="00B351D3" w14:paraId="33912049" w14:textId="77777777" w:rsidTr="00B351D3">
        <w:trPr>
          <w:trHeight w:val="300"/>
        </w:trPr>
        <w:tc>
          <w:tcPr>
            <w:tcW w:w="2580" w:type="dxa"/>
            <w:tcBorders>
              <w:top w:val="nil"/>
              <w:left w:val="single" w:sz="4" w:space="0" w:color="auto"/>
              <w:bottom w:val="single" w:sz="4" w:space="0" w:color="auto"/>
              <w:right w:val="single" w:sz="4" w:space="0" w:color="auto"/>
            </w:tcBorders>
            <w:shd w:val="clear" w:color="auto" w:fill="C00000"/>
            <w:noWrap/>
            <w:hideMark/>
          </w:tcPr>
          <w:p w14:paraId="66B45B04" w14:textId="77777777" w:rsidR="00B351D3" w:rsidRPr="00B351D3" w:rsidRDefault="00B351D3" w:rsidP="00B351D3">
            <w:pPr>
              <w:suppressAutoHyphens w:val="0"/>
              <w:rPr>
                <w:rFonts w:ascii="Franklin Gothic Demi" w:eastAsia="Times New Roman" w:hAnsi="Franklin Gothic Demi" w:cs="Calibri"/>
                <w:color w:val="FFFFFF"/>
                <w:sz w:val="22"/>
                <w:szCs w:val="22"/>
                <w:lang w:val="en-KE" w:eastAsia="en-KE"/>
              </w:rPr>
            </w:pPr>
            <w:r w:rsidRPr="00B351D3">
              <w:rPr>
                <w:rFonts w:ascii="Franklin Gothic Demi" w:eastAsia="Times New Roman" w:hAnsi="Franklin Gothic Demi" w:cs="Calibri"/>
                <w:color w:val="FFFFFF"/>
                <w:sz w:val="22"/>
                <w:szCs w:val="22"/>
                <w:lang w:val="en-KE" w:eastAsia="en-KE"/>
              </w:rPr>
              <w:t>System</w:t>
            </w:r>
          </w:p>
        </w:tc>
        <w:tc>
          <w:tcPr>
            <w:tcW w:w="7196" w:type="dxa"/>
            <w:tcBorders>
              <w:top w:val="nil"/>
              <w:left w:val="nil"/>
              <w:bottom w:val="single" w:sz="4" w:space="0" w:color="auto"/>
              <w:right w:val="single" w:sz="4" w:space="0" w:color="auto"/>
            </w:tcBorders>
            <w:shd w:val="clear" w:color="auto" w:fill="C00000"/>
            <w:noWrap/>
            <w:hideMark/>
          </w:tcPr>
          <w:p w14:paraId="30148EF5" w14:textId="77777777" w:rsidR="00B351D3" w:rsidRPr="00B351D3" w:rsidRDefault="00B351D3" w:rsidP="00B351D3">
            <w:pPr>
              <w:suppressAutoHyphens w:val="0"/>
              <w:rPr>
                <w:rFonts w:ascii="Franklin Gothic Demi" w:eastAsia="Times New Roman" w:hAnsi="Franklin Gothic Demi" w:cs="Calibri"/>
                <w:color w:val="FFFFFF"/>
                <w:sz w:val="22"/>
                <w:szCs w:val="22"/>
                <w:lang w:val="en-KE" w:eastAsia="en-KE"/>
              </w:rPr>
            </w:pPr>
            <w:r w:rsidRPr="00B351D3">
              <w:rPr>
                <w:rFonts w:ascii="Franklin Gothic Demi" w:eastAsia="Times New Roman" w:hAnsi="Franklin Gothic Demi" w:cs="Calibri"/>
                <w:color w:val="FFFFFF"/>
                <w:sz w:val="22"/>
                <w:szCs w:val="22"/>
                <w:lang w:val="en-KE" w:eastAsia="en-KE"/>
              </w:rPr>
              <w:t>Description</w:t>
            </w:r>
          </w:p>
        </w:tc>
        <w:tc>
          <w:tcPr>
            <w:tcW w:w="4124" w:type="dxa"/>
            <w:tcBorders>
              <w:top w:val="nil"/>
              <w:left w:val="nil"/>
              <w:bottom w:val="single" w:sz="4" w:space="0" w:color="auto"/>
              <w:right w:val="single" w:sz="4" w:space="0" w:color="auto"/>
            </w:tcBorders>
            <w:shd w:val="clear" w:color="auto" w:fill="C00000"/>
            <w:noWrap/>
            <w:hideMark/>
          </w:tcPr>
          <w:p w14:paraId="1FBD1310" w14:textId="77777777" w:rsidR="00B351D3" w:rsidRPr="00B351D3" w:rsidRDefault="00B351D3" w:rsidP="00B351D3">
            <w:pPr>
              <w:suppressAutoHyphens w:val="0"/>
              <w:rPr>
                <w:rFonts w:ascii="Franklin Gothic Demi" w:eastAsia="Times New Roman" w:hAnsi="Franklin Gothic Demi" w:cs="Calibri"/>
                <w:color w:val="FFFFFF"/>
                <w:sz w:val="22"/>
                <w:szCs w:val="22"/>
                <w:lang w:val="en-KE" w:eastAsia="en-KE"/>
              </w:rPr>
            </w:pPr>
            <w:r w:rsidRPr="00B351D3">
              <w:rPr>
                <w:rFonts w:ascii="Franklin Gothic Demi" w:eastAsia="Times New Roman" w:hAnsi="Franklin Gothic Demi" w:cs="Calibri"/>
                <w:color w:val="FFFFFF"/>
                <w:sz w:val="22"/>
                <w:szCs w:val="22"/>
                <w:lang w:val="en-KE" w:eastAsia="en-KE"/>
              </w:rPr>
              <w:t>Significance &amp; Opportunities</w:t>
            </w:r>
          </w:p>
        </w:tc>
      </w:tr>
      <w:tr w:rsidR="00B351D3" w:rsidRPr="00B351D3" w14:paraId="788D0849" w14:textId="77777777" w:rsidTr="00B351D3">
        <w:trPr>
          <w:trHeight w:val="300"/>
        </w:trPr>
        <w:tc>
          <w:tcPr>
            <w:tcW w:w="13900" w:type="dxa"/>
            <w:gridSpan w:val="3"/>
            <w:tcBorders>
              <w:top w:val="single" w:sz="4" w:space="0" w:color="auto"/>
              <w:left w:val="single" w:sz="4" w:space="0" w:color="auto"/>
              <w:bottom w:val="single" w:sz="4" w:space="0" w:color="auto"/>
              <w:right w:val="single" w:sz="4" w:space="0" w:color="auto"/>
            </w:tcBorders>
            <w:shd w:val="clear" w:color="auto" w:fill="8ACC8E"/>
            <w:noWrap/>
            <w:hideMark/>
          </w:tcPr>
          <w:p w14:paraId="61905155" w14:textId="77777777" w:rsidR="00B351D3" w:rsidRPr="00B351D3" w:rsidRDefault="00B351D3" w:rsidP="00B351D3">
            <w:pPr>
              <w:suppressAutoHyphens w:val="0"/>
              <w:rPr>
                <w:rFonts w:ascii="Franklin Gothic Demi" w:eastAsia="Times New Roman" w:hAnsi="Franklin Gothic Demi" w:cs="Calibri"/>
                <w:color w:val="000000"/>
                <w:sz w:val="22"/>
                <w:szCs w:val="22"/>
                <w:lang w:val="en-KE" w:eastAsia="en-KE"/>
              </w:rPr>
            </w:pPr>
            <w:r w:rsidRPr="00B351D3">
              <w:rPr>
                <w:rFonts w:ascii="Franklin Gothic Demi" w:eastAsia="Times New Roman" w:hAnsi="Franklin Gothic Demi" w:cs="Calibri"/>
                <w:color w:val="000000"/>
                <w:sz w:val="22"/>
                <w:szCs w:val="22"/>
                <w:lang w:val="en-KE" w:eastAsia="en-KE"/>
              </w:rPr>
              <w:t>a) Laws/ Regulations</w:t>
            </w:r>
          </w:p>
        </w:tc>
      </w:tr>
      <w:tr w:rsidR="00B351D3" w:rsidRPr="00B351D3" w14:paraId="5D8D1B51" w14:textId="77777777" w:rsidTr="00B351D3">
        <w:trPr>
          <w:trHeight w:val="1400"/>
        </w:trPr>
        <w:tc>
          <w:tcPr>
            <w:tcW w:w="2580" w:type="dxa"/>
            <w:tcBorders>
              <w:top w:val="nil"/>
              <w:left w:val="single" w:sz="4" w:space="0" w:color="auto"/>
              <w:bottom w:val="single" w:sz="4" w:space="0" w:color="auto"/>
              <w:right w:val="single" w:sz="4" w:space="0" w:color="auto"/>
            </w:tcBorders>
            <w:shd w:val="clear" w:color="auto" w:fill="auto"/>
            <w:hideMark/>
          </w:tcPr>
          <w:p w14:paraId="5583D3A0" w14:textId="77777777" w:rsidR="00B351D3" w:rsidRPr="00B351D3" w:rsidRDefault="00B351D3" w:rsidP="00B351D3">
            <w:pPr>
              <w:suppressAutoHyphens w:val="0"/>
              <w:rPr>
                <w:rFonts w:ascii="Franklin Gothic Book" w:eastAsia="Times New Roman" w:hAnsi="Franklin Gothic Book" w:cs="Calibri"/>
                <w:color w:val="000000"/>
                <w:sz w:val="20"/>
                <w:szCs w:val="20"/>
                <w:lang w:val="en-KE" w:eastAsia="en-KE"/>
              </w:rPr>
            </w:pPr>
            <w:r w:rsidRPr="00B351D3">
              <w:rPr>
                <w:rFonts w:ascii="Franklin Gothic Book" w:eastAsia="Times New Roman" w:hAnsi="Franklin Gothic Book" w:cs="Calibri"/>
                <w:color w:val="000000"/>
                <w:sz w:val="20"/>
                <w:szCs w:val="20"/>
                <w:lang w:val="en-KE" w:eastAsia="en-KE"/>
              </w:rPr>
              <w:t>Constitution 2010 Chapter 12</w:t>
            </w:r>
          </w:p>
        </w:tc>
        <w:tc>
          <w:tcPr>
            <w:tcW w:w="7196" w:type="dxa"/>
            <w:tcBorders>
              <w:top w:val="nil"/>
              <w:left w:val="nil"/>
              <w:bottom w:val="single" w:sz="4" w:space="0" w:color="auto"/>
              <w:right w:val="single" w:sz="4" w:space="0" w:color="auto"/>
            </w:tcBorders>
            <w:shd w:val="clear" w:color="auto" w:fill="auto"/>
            <w:hideMark/>
          </w:tcPr>
          <w:p w14:paraId="3D5A8BC0" w14:textId="77777777" w:rsidR="00B351D3" w:rsidRPr="00B351D3" w:rsidRDefault="00B351D3" w:rsidP="00B351D3">
            <w:pPr>
              <w:suppressAutoHyphens w:val="0"/>
              <w:rPr>
                <w:rFonts w:ascii="Abadi Extra Light" w:eastAsia="Times New Roman" w:hAnsi="Abadi Extra Light" w:cs="Calibri"/>
                <w:color w:val="000000"/>
                <w:sz w:val="20"/>
                <w:szCs w:val="20"/>
                <w:lang w:val="en-KE" w:eastAsia="en-KE"/>
              </w:rPr>
            </w:pPr>
            <w:r w:rsidRPr="00B351D3">
              <w:rPr>
                <w:rFonts w:ascii="Abadi Extra Light" w:eastAsia="Times New Roman" w:hAnsi="Abadi Extra Light" w:cs="Calibri"/>
                <w:color w:val="000000"/>
                <w:sz w:val="20"/>
                <w:szCs w:val="20"/>
                <w:lang w:eastAsia="en-KE"/>
              </w:rPr>
              <w:t>a. A framework for accountability in the management of public resources.</w:t>
            </w:r>
            <w:r w:rsidRPr="00B351D3">
              <w:rPr>
                <w:rFonts w:ascii="Abadi Extra Light" w:eastAsia="Times New Roman" w:hAnsi="Abadi Extra Light" w:cs="Calibri"/>
                <w:color w:val="000000"/>
                <w:sz w:val="20"/>
                <w:szCs w:val="20"/>
                <w:lang w:eastAsia="en-KE"/>
              </w:rPr>
              <w:br/>
              <w:t xml:space="preserve">b. Processes and institutions that facilitate enforcement of accountability in public finance management </w:t>
            </w:r>
            <w:proofErr w:type="gramStart"/>
            <w:r w:rsidRPr="00B351D3">
              <w:rPr>
                <w:rFonts w:ascii="Abadi Extra Light" w:eastAsia="Times New Roman" w:hAnsi="Abadi Extra Light" w:cs="Calibri"/>
                <w:color w:val="000000"/>
                <w:sz w:val="20"/>
                <w:szCs w:val="20"/>
                <w:lang w:eastAsia="en-KE"/>
              </w:rPr>
              <w:t>e.g.</w:t>
            </w:r>
            <w:proofErr w:type="gramEnd"/>
            <w:r w:rsidRPr="00B351D3">
              <w:rPr>
                <w:rFonts w:ascii="Abadi Extra Light" w:eastAsia="Times New Roman" w:hAnsi="Abadi Extra Light" w:cs="Calibri"/>
                <w:color w:val="000000"/>
                <w:sz w:val="20"/>
                <w:szCs w:val="20"/>
                <w:lang w:eastAsia="en-KE"/>
              </w:rPr>
              <w:t xml:space="preserve"> the Office of the Auditor General (Article 229), the Office of Controller of Budget (Article 228), the Commission on Revenue Allocation (Article 215), the National Treasury, legislative assemblies etc.</w:t>
            </w:r>
          </w:p>
        </w:tc>
        <w:tc>
          <w:tcPr>
            <w:tcW w:w="4124" w:type="dxa"/>
            <w:vMerge w:val="restart"/>
            <w:tcBorders>
              <w:top w:val="nil"/>
              <w:left w:val="single" w:sz="4" w:space="0" w:color="auto"/>
              <w:bottom w:val="single" w:sz="4" w:space="0" w:color="000000"/>
              <w:right w:val="single" w:sz="4" w:space="0" w:color="auto"/>
            </w:tcBorders>
            <w:shd w:val="clear" w:color="auto" w:fill="auto"/>
            <w:vAlign w:val="center"/>
            <w:hideMark/>
          </w:tcPr>
          <w:p w14:paraId="55B00A6F" w14:textId="77777777" w:rsidR="00B351D3" w:rsidRPr="00B351D3" w:rsidRDefault="00B351D3" w:rsidP="00B351D3">
            <w:pPr>
              <w:suppressAutoHyphens w:val="0"/>
              <w:rPr>
                <w:rFonts w:ascii="Abadi Extra Light" w:eastAsia="Times New Roman" w:hAnsi="Abadi Extra Light" w:cs="Calibri"/>
                <w:color w:val="000000"/>
                <w:sz w:val="20"/>
                <w:szCs w:val="20"/>
                <w:lang w:val="en-KE" w:eastAsia="en-KE"/>
              </w:rPr>
            </w:pPr>
            <w:r w:rsidRPr="00B351D3">
              <w:rPr>
                <w:rFonts w:ascii="Abadi Extra Light" w:eastAsia="Times New Roman" w:hAnsi="Abadi Extra Light" w:cs="Calibri"/>
                <w:color w:val="000000"/>
                <w:sz w:val="20"/>
                <w:szCs w:val="20"/>
                <w:lang w:val="en-KE" w:eastAsia="en-KE"/>
              </w:rPr>
              <w:t>Need for amendments to allow:</w:t>
            </w:r>
            <w:r w:rsidRPr="00B351D3">
              <w:rPr>
                <w:rFonts w:ascii="Abadi Extra Light" w:eastAsia="Times New Roman" w:hAnsi="Abadi Extra Light" w:cs="Calibri"/>
                <w:color w:val="000000"/>
                <w:sz w:val="20"/>
                <w:szCs w:val="20"/>
                <w:lang w:val="en-KE" w:eastAsia="en-KE"/>
              </w:rPr>
              <w:br/>
              <w:t>a. Autonomy at facility level on the use of facility generated revenues for health.</w:t>
            </w:r>
            <w:r w:rsidRPr="00B351D3">
              <w:rPr>
                <w:rFonts w:ascii="Abadi Extra Light" w:eastAsia="Times New Roman" w:hAnsi="Abadi Extra Light" w:cs="Calibri"/>
                <w:color w:val="000000"/>
                <w:sz w:val="20"/>
                <w:szCs w:val="20"/>
                <w:lang w:val="en-KE" w:eastAsia="en-KE"/>
              </w:rPr>
              <w:br/>
              <w:t>b. Adequate time for public participation within the budget cycle.</w:t>
            </w:r>
          </w:p>
        </w:tc>
      </w:tr>
      <w:tr w:rsidR="00B351D3" w:rsidRPr="00B351D3" w14:paraId="160CDD1E" w14:textId="77777777" w:rsidTr="00B351D3">
        <w:trPr>
          <w:trHeight w:val="3180"/>
        </w:trPr>
        <w:tc>
          <w:tcPr>
            <w:tcW w:w="2580" w:type="dxa"/>
            <w:tcBorders>
              <w:top w:val="nil"/>
              <w:left w:val="single" w:sz="4" w:space="0" w:color="auto"/>
              <w:bottom w:val="single" w:sz="4" w:space="0" w:color="auto"/>
              <w:right w:val="single" w:sz="4" w:space="0" w:color="auto"/>
            </w:tcBorders>
            <w:shd w:val="clear" w:color="auto" w:fill="auto"/>
            <w:hideMark/>
          </w:tcPr>
          <w:p w14:paraId="095DC7D9" w14:textId="77777777" w:rsidR="00B351D3" w:rsidRPr="00B351D3" w:rsidRDefault="00B351D3" w:rsidP="00B351D3">
            <w:pPr>
              <w:suppressAutoHyphens w:val="0"/>
              <w:rPr>
                <w:rFonts w:ascii="Franklin Gothic Book" w:eastAsia="Times New Roman" w:hAnsi="Franklin Gothic Book" w:cs="Calibri"/>
                <w:color w:val="000000"/>
                <w:sz w:val="20"/>
                <w:szCs w:val="20"/>
                <w:lang w:val="en-KE" w:eastAsia="en-KE"/>
              </w:rPr>
            </w:pPr>
            <w:r w:rsidRPr="00B351D3">
              <w:rPr>
                <w:rFonts w:ascii="Franklin Gothic Book" w:eastAsia="Times New Roman" w:hAnsi="Franklin Gothic Book" w:cs="Calibri"/>
                <w:color w:val="000000"/>
                <w:sz w:val="20"/>
                <w:szCs w:val="20"/>
                <w:lang w:val="en-KE" w:eastAsia="en-KE"/>
              </w:rPr>
              <w:t xml:space="preserve">PFM Act 2012 </w:t>
            </w:r>
          </w:p>
        </w:tc>
        <w:tc>
          <w:tcPr>
            <w:tcW w:w="7196" w:type="dxa"/>
            <w:tcBorders>
              <w:top w:val="nil"/>
              <w:left w:val="nil"/>
              <w:bottom w:val="nil"/>
              <w:right w:val="nil"/>
            </w:tcBorders>
            <w:shd w:val="clear" w:color="auto" w:fill="auto"/>
            <w:hideMark/>
          </w:tcPr>
          <w:p w14:paraId="6E894F0A" w14:textId="77777777" w:rsidR="00B351D3" w:rsidRPr="00B351D3" w:rsidRDefault="00B351D3" w:rsidP="00B351D3">
            <w:pPr>
              <w:suppressAutoHyphens w:val="0"/>
              <w:rPr>
                <w:rFonts w:ascii="Franklin Gothic Demi" w:eastAsia="Times New Roman" w:hAnsi="Franklin Gothic Demi" w:cs="Calibri"/>
                <w:color w:val="000000"/>
                <w:sz w:val="20"/>
                <w:szCs w:val="20"/>
                <w:lang w:eastAsia="en-KE"/>
              </w:rPr>
            </w:pPr>
            <w:r w:rsidRPr="00B351D3">
              <w:rPr>
                <w:rFonts w:ascii="Abadi Extra Light" w:eastAsia="Times New Roman" w:hAnsi="Abadi Extra Light" w:cs="Calibri"/>
                <w:color w:val="000000"/>
                <w:sz w:val="20"/>
                <w:szCs w:val="20"/>
                <w:lang w:eastAsia="en-KE"/>
              </w:rPr>
              <w:t>a. Outlines the processes entailed in revenue raising, debt management, revenue allocation, budgeting processes at national and county level.</w:t>
            </w:r>
            <w:r w:rsidRPr="00B351D3">
              <w:rPr>
                <w:rFonts w:ascii="Abadi Extra Light" w:eastAsia="Times New Roman" w:hAnsi="Abadi Extra Light" w:cs="Calibri"/>
                <w:color w:val="000000"/>
                <w:sz w:val="20"/>
                <w:szCs w:val="20"/>
                <w:lang w:eastAsia="en-KE"/>
              </w:rPr>
              <w:br/>
              <w:t xml:space="preserve">b. Strongly emphasizes and anchors the role of public participation in public finance management in Article 207. </w:t>
            </w:r>
            <w:r w:rsidRPr="00B351D3">
              <w:rPr>
                <w:rFonts w:ascii="Abadi Extra Light" w:eastAsia="Times New Roman" w:hAnsi="Abadi Extra Light" w:cs="Calibri"/>
                <w:color w:val="000000"/>
                <w:sz w:val="20"/>
                <w:szCs w:val="20"/>
                <w:lang w:eastAsia="en-KE"/>
              </w:rPr>
              <w:br/>
              <w:t xml:space="preserve">c. Article 15 provides mandate of the national treasury in public finance management in the country. </w:t>
            </w:r>
            <w:r w:rsidRPr="00B351D3">
              <w:rPr>
                <w:rFonts w:ascii="Abadi Extra Light" w:eastAsia="Times New Roman" w:hAnsi="Abadi Extra Light" w:cs="Calibri"/>
                <w:color w:val="000000"/>
                <w:sz w:val="20"/>
                <w:szCs w:val="20"/>
                <w:lang w:eastAsia="en-KE"/>
              </w:rPr>
              <w:br/>
              <w:t xml:space="preserve">d. It ensures periodic (monthly, </w:t>
            </w:r>
            <w:proofErr w:type="gramStart"/>
            <w:r w:rsidRPr="00B351D3">
              <w:rPr>
                <w:rFonts w:ascii="Abadi Extra Light" w:eastAsia="Times New Roman" w:hAnsi="Abadi Extra Light" w:cs="Calibri"/>
                <w:color w:val="000000"/>
                <w:sz w:val="20"/>
                <w:szCs w:val="20"/>
                <w:lang w:eastAsia="en-KE"/>
              </w:rPr>
              <w:t>quarterly</w:t>
            </w:r>
            <w:proofErr w:type="gramEnd"/>
            <w:r w:rsidRPr="00B351D3">
              <w:rPr>
                <w:rFonts w:ascii="Abadi Extra Light" w:eastAsia="Times New Roman" w:hAnsi="Abadi Extra Light" w:cs="Calibri"/>
                <w:color w:val="000000"/>
                <w:sz w:val="20"/>
                <w:szCs w:val="20"/>
                <w:lang w:eastAsia="en-KE"/>
              </w:rPr>
              <w:t xml:space="preserve"> and annual) financial reporting by all state departments and county governments with a view to ensuring accountability.</w:t>
            </w:r>
            <w:r w:rsidRPr="00B351D3">
              <w:rPr>
                <w:rFonts w:ascii="Abadi Extra Light" w:eastAsia="Times New Roman" w:hAnsi="Abadi Extra Light" w:cs="Calibri"/>
                <w:color w:val="000000"/>
                <w:sz w:val="20"/>
                <w:szCs w:val="20"/>
                <w:lang w:eastAsia="en-KE"/>
              </w:rPr>
              <w:br/>
            </w:r>
          </w:p>
          <w:p w14:paraId="6DC88601" w14:textId="5A9A5A5C" w:rsidR="00B351D3" w:rsidRPr="00B351D3" w:rsidRDefault="00B351D3" w:rsidP="00B351D3">
            <w:pPr>
              <w:suppressAutoHyphens w:val="0"/>
              <w:rPr>
                <w:rFonts w:ascii="Abadi Extra Light" w:eastAsia="Times New Roman" w:hAnsi="Abadi Extra Light" w:cs="Calibri"/>
                <w:color w:val="000000"/>
                <w:sz w:val="20"/>
                <w:szCs w:val="20"/>
                <w:lang w:val="en-KE" w:eastAsia="en-KE"/>
              </w:rPr>
            </w:pPr>
            <w:r w:rsidRPr="00B351D3">
              <w:rPr>
                <w:rFonts w:ascii="Franklin Gothic Demi" w:eastAsia="Times New Roman" w:hAnsi="Franklin Gothic Demi" w:cs="Calibri"/>
                <w:color w:val="000000"/>
                <w:sz w:val="20"/>
                <w:szCs w:val="20"/>
                <w:lang w:eastAsia="en-KE"/>
              </w:rPr>
              <w:t>Challenge:</w:t>
            </w:r>
            <w:r w:rsidRPr="00B351D3">
              <w:rPr>
                <w:rFonts w:ascii="Franklin Gothic Book" w:eastAsia="Times New Roman" w:hAnsi="Franklin Gothic Book" w:cs="Calibri"/>
                <w:color w:val="000000"/>
                <w:sz w:val="20"/>
                <w:szCs w:val="20"/>
                <w:lang w:eastAsia="en-KE"/>
              </w:rPr>
              <w:t xml:space="preserve"> </w:t>
            </w:r>
            <w:r w:rsidRPr="00B351D3">
              <w:rPr>
                <w:rFonts w:ascii="Abadi Extra Light" w:eastAsia="Times New Roman" w:hAnsi="Abadi Extra Light" w:cs="Calibri"/>
                <w:color w:val="000000"/>
                <w:sz w:val="20"/>
                <w:szCs w:val="20"/>
                <w:lang w:eastAsia="en-KE"/>
              </w:rPr>
              <w:br/>
              <w:t xml:space="preserve">a. Deters autonomy of health facilities in the utilization of facility generated revenues </w:t>
            </w:r>
            <w:r w:rsidRPr="00B351D3">
              <w:rPr>
                <w:rFonts w:ascii="Abadi Extra Light" w:eastAsia="Times New Roman" w:hAnsi="Abadi Extra Light" w:cs="Calibri"/>
                <w:color w:val="000000"/>
                <w:sz w:val="20"/>
                <w:szCs w:val="20"/>
                <w:lang w:eastAsia="en-KE"/>
              </w:rPr>
              <w:br/>
              <w:t>b. Short timelines for public participation within the budget cycle</w:t>
            </w:r>
          </w:p>
        </w:tc>
        <w:tc>
          <w:tcPr>
            <w:tcW w:w="4124" w:type="dxa"/>
            <w:vMerge/>
            <w:tcBorders>
              <w:top w:val="nil"/>
              <w:left w:val="single" w:sz="4" w:space="0" w:color="auto"/>
              <w:bottom w:val="single" w:sz="4" w:space="0" w:color="000000"/>
              <w:right w:val="single" w:sz="4" w:space="0" w:color="auto"/>
            </w:tcBorders>
            <w:vAlign w:val="center"/>
            <w:hideMark/>
          </w:tcPr>
          <w:p w14:paraId="40C9BAB7" w14:textId="77777777" w:rsidR="00B351D3" w:rsidRPr="00B351D3" w:rsidRDefault="00B351D3" w:rsidP="00B351D3">
            <w:pPr>
              <w:suppressAutoHyphens w:val="0"/>
              <w:rPr>
                <w:rFonts w:ascii="Abadi Extra Light" w:eastAsia="Times New Roman" w:hAnsi="Abadi Extra Light" w:cs="Calibri"/>
                <w:color w:val="000000"/>
                <w:sz w:val="20"/>
                <w:szCs w:val="20"/>
                <w:lang w:val="en-KE" w:eastAsia="en-KE"/>
              </w:rPr>
            </w:pPr>
          </w:p>
        </w:tc>
      </w:tr>
      <w:tr w:rsidR="00B351D3" w:rsidRPr="00B351D3" w14:paraId="32676843" w14:textId="77777777" w:rsidTr="00B351D3">
        <w:trPr>
          <w:trHeight w:val="300"/>
        </w:trPr>
        <w:tc>
          <w:tcPr>
            <w:tcW w:w="13900" w:type="dxa"/>
            <w:gridSpan w:val="3"/>
            <w:tcBorders>
              <w:top w:val="single" w:sz="4" w:space="0" w:color="auto"/>
              <w:left w:val="single" w:sz="4" w:space="0" w:color="auto"/>
              <w:bottom w:val="single" w:sz="4" w:space="0" w:color="auto"/>
              <w:right w:val="single" w:sz="4" w:space="0" w:color="auto"/>
            </w:tcBorders>
            <w:shd w:val="clear" w:color="auto" w:fill="8ACC8E"/>
            <w:noWrap/>
            <w:hideMark/>
          </w:tcPr>
          <w:p w14:paraId="068B8B30" w14:textId="77777777" w:rsidR="00B351D3" w:rsidRPr="00B351D3" w:rsidRDefault="00B351D3" w:rsidP="00B351D3">
            <w:pPr>
              <w:suppressAutoHyphens w:val="0"/>
              <w:rPr>
                <w:rFonts w:ascii="Franklin Gothic Demi" w:eastAsia="Times New Roman" w:hAnsi="Franklin Gothic Demi" w:cs="Calibri"/>
                <w:color w:val="000000"/>
                <w:sz w:val="22"/>
                <w:szCs w:val="22"/>
                <w:lang w:val="en-KE" w:eastAsia="en-KE"/>
              </w:rPr>
            </w:pPr>
            <w:r w:rsidRPr="00B351D3">
              <w:rPr>
                <w:rFonts w:ascii="Franklin Gothic Demi" w:eastAsia="Times New Roman" w:hAnsi="Franklin Gothic Demi" w:cs="Calibri"/>
                <w:color w:val="000000"/>
                <w:sz w:val="22"/>
                <w:szCs w:val="22"/>
                <w:lang w:val="en-KE" w:eastAsia="en-KE"/>
              </w:rPr>
              <w:t>b) Institutions</w:t>
            </w:r>
          </w:p>
        </w:tc>
      </w:tr>
      <w:tr w:rsidR="00B351D3" w:rsidRPr="00B351D3" w14:paraId="574FBF42" w14:textId="77777777" w:rsidTr="00373E9F">
        <w:trPr>
          <w:trHeight w:val="300"/>
        </w:trPr>
        <w:tc>
          <w:tcPr>
            <w:tcW w:w="13900" w:type="dxa"/>
            <w:gridSpan w:val="3"/>
            <w:tcBorders>
              <w:top w:val="single" w:sz="4" w:space="0" w:color="auto"/>
              <w:left w:val="single" w:sz="4" w:space="0" w:color="auto"/>
              <w:bottom w:val="single" w:sz="4" w:space="0" w:color="auto"/>
              <w:right w:val="single" w:sz="4" w:space="0" w:color="000000"/>
            </w:tcBorders>
            <w:shd w:val="clear" w:color="auto" w:fill="auto"/>
            <w:noWrap/>
            <w:hideMark/>
          </w:tcPr>
          <w:p w14:paraId="4417922E" w14:textId="77777777" w:rsidR="00B351D3" w:rsidRPr="00B351D3" w:rsidRDefault="00B351D3" w:rsidP="00B351D3">
            <w:pPr>
              <w:suppressAutoHyphens w:val="0"/>
              <w:rPr>
                <w:rFonts w:ascii="Franklin Gothic Book" w:eastAsia="Times New Roman" w:hAnsi="Franklin Gothic Book" w:cs="Calibri"/>
                <w:color w:val="000000"/>
                <w:sz w:val="22"/>
                <w:szCs w:val="22"/>
                <w:lang w:val="en-KE" w:eastAsia="en-KE"/>
              </w:rPr>
            </w:pPr>
            <w:r w:rsidRPr="00B351D3">
              <w:rPr>
                <w:rFonts w:ascii="Franklin Gothic Book" w:eastAsia="Times New Roman" w:hAnsi="Franklin Gothic Book" w:cs="Calibri"/>
                <w:color w:val="000000"/>
                <w:sz w:val="22"/>
                <w:szCs w:val="22"/>
                <w:lang w:val="en-KE" w:eastAsia="en-KE"/>
              </w:rPr>
              <w:t>i) Government Agencies</w:t>
            </w:r>
          </w:p>
        </w:tc>
      </w:tr>
      <w:tr w:rsidR="00B351D3" w:rsidRPr="00B351D3" w14:paraId="5C5F730E" w14:textId="77777777" w:rsidTr="00B351D3">
        <w:trPr>
          <w:trHeight w:val="1940"/>
        </w:trPr>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29692AEF" w14:textId="77777777" w:rsidR="00B351D3" w:rsidRPr="00B351D3" w:rsidRDefault="00B351D3" w:rsidP="00B351D3">
            <w:pPr>
              <w:suppressAutoHyphens w:val="0"/>
              <w:rPr>
                <w:rFonts w:ascii="Franklin Gothic Book" w:eastAsia="Times New Roman" w:hAnsi="Franklin Gothic Book" w:cs="Calibri"/>
                <w:color w:val="000000"/>
                <w:sz w:val="20"/>
                <w:szCs w:val="20"/>
                <w:lang w:val="en-KE" w:eastAsia="en-KE"/>
              </w:rPr>
            </w:pPr>
            <w:r w:rsidRPr="00B351D3">
              <w:rPr>
                <w:rFonts w:ascii="Franklin Gothic Book" w:eastAsia="Times New Roman" w:hAnsi="Franklin Gothic Book" w:cs="Calibri"/>
                <w:color w:val="000000"/>
                <w:sz w:val="20"/>
                <w:szCs w:val="20"/>
                <w:lang w:val="en-KE" w:eastAsia="en-KE"/>
              </w:rPr>
              <w:t>Office of Controller of Budget (OCOB)</w:t>
            </w:r>
          </w:p>
        </w:tc>
        <w:tc>
          <w:tcPr>
            <w:tcW w:w="7196" w:type="dxa"/>
            <w:tcBorders>
              <w:top w:val="single" w:sz="4" w:space="0" w:color="auto"/>
              <w:left w:val="nil"/>
              <w:bottom w:val="single" w:sz="4" w:space="0" w:color="auto"/>
              <w:right w:val="nil"/>
            </w:tcBorders>
            <w:shd w:val="clear" w:color="auto" w:fill="auto"/>
            <w:hideMark/>
          </w:tcPr>
          <w:p w14:paraId="42A0D224" w14:textId="77777777" w:rsidR="00B351D3" w:rsidRPr="00B351D3" w:rsidRDefault="00B351D3" w:rsidP="00B351D3">
            <w:pPr>
              <w:suppressAutoHyphens w:val="0"/>
              <w:rPr>
                <w:rFonts w:ascii="Abadi Extra Light" w:eastAsia="Times New Roman" w:hAnsi="Abadi Extra Light" w:cs="Calibri"/>
                <w:color w:val="000000"/>
                <w:sz w:val="20"/>
                <w:szCs w:val="20"/>
                <w:lang w:val="en-KE" w:eastAsia="en-KE"/>
              </w:rPr>
            </w:pPr>
            <w:r w:rsidRPr="00B351D3">
              <w:rPr>
                <w:rFonts w:ascii="Abadi Extra Light" w:eastAsia="Times New Roman" w:hAnsi="Abadi Extra Light" w:cs="Calibri"/>
                <w:color w:val="000000"/>
                <w:sz w:val="20"/>
                <w:szCs w:val="20"/>
                <w:lang w:eastAsia="en-KE"/>
              </w:rPr>
              <w:t>a. Established under Article 228 of the Constitution of Kenya, 2010.</w:t>
            </w:r>
            <w:r w:rsidRPr="00B351D3">
              <w:rPr>
                <w:rFonts w:ascii="Abadi Extra Light" w:eastAsia="Times New Roman" w:hAnsi="Abadi Extra Light" w:cs="Calibri"/>
                <w:color w:val="000000"/>
                <w:sz w:val="20"/>
                <w:szCs w:val="20"/>
                <w:lang w:eastAsia="en-KE"/>
              </w:rPr>
              <w:br/>
              <w:t xml:space="preserve">b. Oversight to the implementation of the national and county budgets. Approval of any withdrawal of public funds, which confirms the expenditure is legal. </w:t>
            </w:r>
            <w:r w:rsidRPr="00B351D3">
              <w:rPr>
                <w:rFonts w:ascii="Abadi Extra Light" w:eastAsia="Times New Roman" w:hAnsi="Abadi Extra Light" w:cs="Calibri"/>
                <w:color w:val="000000"/>
                <w:sz w:val="20"/>
                <w:szCs w:val="20"/>
                <w:lang w:eastAsia="en-KE"/>
              </w:rPr>
              <w:br/>
              <w:t xml:space="preserve">c. Publish regular reports on government spending which are submitted to the parliament and are made available to the public. </w:t>
            </w:r>
            <w:r w:rsidRPr="00B351D3">
              <w:rPr>
                <w:rFonts w:ascii="Abadi Extra Light" w:eastAsia="Times New Roman" w:hAnsi="Abadi Extra Light" w:cs="Calibri"/>
                <w:color w:val="000000"/>
                <w:sz w:val="20"/>
                <w:szCs w:val="20"/>
                <w:lang w:eastAsia="en-KE"/>
              </w:rPr>
              <w:br/>
            </w:r>
            <w:r w:rsidRPr="00B351D3">
              <w:rPr>
                <w:rFonts w:ascii="Franklin Gothic Demi" w:eastAsia="Times New Roman" w:hAnsi="Franklin Gothic Demi" w:cs="Calibri"/>
                <w:color w:val="000000"/>
                <w:sz w:val="20"/>
                <w:szCs w:val="20"/>
                <w:lang w:eastAsia="en-KE"/>
              </w:rPr>
              <w:t>Challenge:</w:t>
            </w:r>
            <w:r w:rsidRPr="00B351D3">
              <w:rPr>
                <w:rFonts w:ascii="Abadi Extra Light" w:eastAsia="Times New Roman" w:hAnsi="Abadi Extra Light" w:cs="Calibri"/>
                <w:color w:val="000000"/>
                <w:sz w:val="20"/>
                <w:szCs w:val="20"/>
                <w:lang w:eastAsia="en-KE"/>
              </w:rPr>
              <w:t xml:space="preserve"> </w:t>
            </w:r>
            <w:r w:rsidRPr="00B351D3">
              <w:rPr>
                <w:rFonts w:ascii="Abadi Extra Light" w:eastAsia="Times New Roman" w:hAnsi="Abadi Extra Light" w:cs="Calibri"/>
                <w:color w:val="000000"/>
                <w:sz w:val="20"/>
                <w:szCs w:val="20"/>
                <w:lang w:eastAsia="en-KE"/>
              </w:rPr>
              <w:br/>
              <w:t>Delays in publishing spending reports and proposals for public scrutiny.</w:t>
            </w:r>
          </w:p>
        </w:tc>
        <w:tc>
          <w:tcPr>
            <w:tcW w:w="4124" w:type="dxa"/>
            <w:tcBorders>
              <w:top w:val="single" w:sz="4" w:space="0" w:color="auto"/>
              <w:left w:val="single" w:sz="4" w:space="0" w:color="auto"/>
              <w:bottom w:val="single" w:sz="4" w:space="0" w:color="auto"/>
              <w:right w:val="single" w:sz="4" w:space="0" w:color="auto"/>
            </w:tcBorders>
            <w:shd w:val="clear" w:color="auto" w:fill="auto"/>
            <w:hideMark/>
          </w:tcPr>
          <w:p w14:paraId="2EAA7536" w14:textId="77777777" w:rsidR="00B351D3" w:rsidRPr="00B351D3" w:rsidRDefault="00B351D3" w:rsidP="00B351D3">
            <w:pPr>
              <w:suppressAutoHyphens w:val="0"/>
              <w:rPr>
                <w:rFonts w:ascii="Abadi Extra Light" w:eastAsia="Times New Roman" w:hAnsi="Abadi Extra Light" w:cs="Calibri"/>
                <w:color w:val="000000"/>
                <w:sz w:val="20"/>
                <w:szCs w:val="20"/>
                <w:lang w:val="en-KE" w:eastAsia="en-KE"/>
              </w:rPr>
            </w:pPr>
            <w:r w:rsidRPr="00B351D3">
              <w:rPr>
                <w:rFonts w:ascii="Abadi Extra Light" w:eastAsia="Times New Roman" w:hAnsi="Abadi Extra Light" w:cs="Calibri"/>
                <w:color w:val="000000"/>
                <w:sz w:val="20"/>
                <w:szCs w:val="20"/>
                <w:lang w:val="en-KE" w:eastAsia="en-KE"/>
              </w:rPr>
              <w:t>a. Advocacy for timely publishing of spending reports for public scrutiny and input</w:t>
            </w:r>
          </w:p>
        </w:tc>
      </w:tr>
    </w:tbl>
    <w:p w14:paraId="18498BEA" w14:textId="6723FACC" w:rsidR="00B351D3" w:rsidRDefault="00B351D3">
      <w:pPr>
        <w:sectPr w:rsidR="00B351D3">
          <w:headerReference w:type="default" r:id="rId50"/>
          <w:footerReference w:type="default" r:id="rId51"/>
          <w:pgSz w:w="16838" w:h="11906" w:orient="landscape"/>
          <w:pgMar w:top="1440" w:right="1440" w:bottom="1198" w:left="1440" w:header="0" w:footer="708" w:gutter="0"/>
          <w:cols w:space="720"/>
          <w:formProt w:val="0"/>
          <w:docGrid w:linePitch="286" w:charSpace="12288"/>
        </w:sectPr>
      </w:pPr>
    </w:p>
    <w:tbl>
      <w:tblPr>
        <w:tblW w:w="13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0"/>
        <w:gridCol w:w="7020"/>
        <w:gridCol w:w="4300"/>
      </w:tblGrid>
      <w:tr w:rsidR="00B351D3" w:rsidRPr="00B351D3" w14:paraId="714B2C96" w14:textId="77777777" w:rsidTr="00B351D3">
        <w:trPr>
          <w:trHeight w:val="300"/>
        </w:trPr>
        <w:tc>
          <w:tcPr>
            <w:tcW w:w="2580" w:type="dxa"/>
            <w:shd w:val="clear" w:color="auto" w:fill="C00000"/>
            <w:noWrap/>
            <w:hideMark/>
          </w:tcPr>
          <w:p w14:paraId="63FE432C" w14:textId="77777777" w:rsidR="00B351D3" w:rsidRPr="00B351D3" w:rsidRDefault="00B351D3" w:rsidP="00B351D3">
            <w:pPr>
              <w:suppressAutoHyphens w:val="0"/>
              <w:rPr>
                <w:rFonts w:ascii="Franklin Gothic Demi" w:eastAsia="Times New Roman" w:hAnsi="Franklin Gothic Demi" w:cs="Calibri"/>
                <w:color w:val="FFFFFF"/>
                <w:sz w:val="22"/>
                <w:szCs w:val="22"/>
                <w:lang w:val="en-KE" w:eastAsia="en-KE"/>
              </w:rPr>
            </w:pPr>
            <w:r w:rsidRPr="00B351D3">
              <w:rPr>
                <w:rFonts w:ascii="Franklin Gothic Demi" w:eastAsia="Times New Roman" w:hAnsi="Franklin Gothic Demi" w:cs="Calibri"/>
                <w:color w:val="FFFFFF"/>
                <w:sz w:val="22"/>
                <w:szCs w:val="22"/>
                <w:lang w:val="en-KE" w:eastAsia="en-KE"/>
              </w:rPr>
              <w:lastRenderedPageBreak/>
              <w:t>System</w:t>
            </w:r>
          </w:p>
        </w:tc>
        <w:tc>
          <w:tcPr>
            <w:tcW w:w="7020" w:type="dxa"/>
            <w:shd w:val="clear" w:color="auto" w:fill="C00000"/>
            <w:noWrap/>
            <w:hideMark/>
          </w:tcPr>
          <w:p w14:paraId="2C63CAD9" w14:textId="77777777" w:rsidR="00B351D3" w:rsidRPr="00B351D3" w:rsidRDefault="00B351D3" w:rsidP="00B351D3">
            <w:pPr>
              <w:suppressAutoHyphens w:val="0"/>
              <w:rPr>
                <w:rFonts w:ascii="Franklin Gothic Demi" w:eastAsia="Times New Roman" w:hAnsi="Franklin Gothic Demi" w:cs="Calibri"/>
                <w:color w:val="FFFFFF"/>
                <w:sz w:val="22"/>
                <w:szCs w:val="22"/>
                <w:lang w:val="en-KE" w:eastAsia="en-KE"/>
              </w:rPr>
            </w:pPr>
            <w:r w:rsidRPr="00B351D3">
              <w:rPr>
                <w:rFonts w:ascii="Franklin Gothic Demi" w:eastAsia="Times New Roman" w:hAnsi="Franklin Gothic Demi" w:cs="Calibri"/>
                <w:color w:val="FFFFFF"/>
                <w:sz w:val="22"/>
                <w:szCs w:val="22"/>
                <w:lang w:val="en-KE" w:eastAsia="en-KE"/>
              </w:rPr>
              <w:t>Description</w:t>
            </w:r>
          </w:p>
        </w:tc>
        <w:tc>
          <w:tcPr>
            <w:tcW w:w="4300" w:type="dxa"/>
            <w:shd w:val="clear" w:color="auto" w:fill="C00000"/>
            <w:noWrap/>
            <w:hideMark/>
          </w:tcPr>
          <w:p w14:paraId="0B69B4D6" w14:textId="77777777" w:rsidR="00B351D3" w:rsidRPr="00B351D3" w:rsidRDefault="00B351D3" w:rsidP="00B351D3">
            <w:pPr>
              <w:suppressAutoHyphens w:val="0"/>
              <w:rPr>
                <w:rFonts w:ascii="Franklin Gothic Demi" w:eastAsia="Times New Roman" w:hAnsi="Franklin Gothic Demi" w:cs="Calibri"/>
                <w:color w:val="FFFFFF"/>
                <w:sz w:val="22"/>
                <w:szCs w:val="22"/>
                <w:lang w:val="en-KE" w:eastAsia="en-KE"/>
              </w:rPr>
            </w:pPr>
            <w:r w:rsidRPr="00B351D3">
              <w:rPr>
                <w:rFonts w:ascii="Franklin Gothic Demi" w:eastAsia="Times New Roman" w:hAnsi="Franklin Gothic Demi" w:cs="Calibri"/>
                <w:color w:val="FFFFFF"/>
                <w:sz w:val="22"/>
                <w:szCs w:val="22"/>
                <w:lang w:val="en-KE" w:eastAsia="en-KE"/>
              </w:rPr>
              <w:t>Significance &amp; Opportunities</w:t>
            </w:r>
          </w:p>
        </w:tc>
      </w:tr>
      <w:tr w:rsidR="00B351D3" w:rsidRPr="00B351D3" w14:paraId="77D5A2C8" w14:textId="77777777" w:rsidTr="00373E9F">
        <w:trPr>
          <w:trHeight w:val="1900"/>
        </w:trPr>
        <w:tc>
          <w:tcPr>
            <w:tcW w:w="2580" w:type="dxa"/>
            <w:shd w:val="clear" w:color="auto" w:fill="auto"/>
            <w:hideMark/>
          </w:tcPr>
          <w:p w14:paraId="6BFA7532" w14:textId="77777777" w:rsidR="00B351D3" w:rsidRPr="00B351D3" w:rsidRDefault="00B351D3" w:rsidP="00B351D3">
            <w:pPr>
              <w:suppressAutoHyphens w:val="0"/>
              <w:rPr>
                <w:rFonts w:ascii="Franklin Gothic Book" w:eastAsia="Times New Roman" w:hAnsi="Franklin Gothic Book" w:cs="Calibri"/>
                <w:color w:val="000000"/>
                <w:sz w:val="20"/>
                <w:szCs w:val="20"/>
                <w:lang w:val="en-KE" w:eastAsia="en-KE"/>
              </w:rPr>
            </w:pPr>
            <w:r w:rsidRPr="00B351D3">
              <w:rPr>
                <w:rFonts w:ascii="Franklin Gothic Book" w:eastAsia="Times New Roman" w:hAnsi="Franklin Gothic Book" w:cs="Calibri"/>
                <w:color w:val="000000"/>
                <w:sz w:val="20"/>
                <w:szCs w:val="20"/>
                <w:lang w:val="en-KE" w:eastAsia="en-KE"/>
              </w:rPr>
              <w:t>Office of The Auditor General (OAG)</w:t>
            </w:r>
          </w:p>
        </w:tc>
        <w:tc>
          <w:tcPr>
            <w:tcW w:w="7020" w:type="dxa"/>
            <w:shd w:val="clear" w:color="auto" w:fill="auto"/>
            <w:hideMark/>
          </w:tcPr>
          <w:p w14:paraId="35B920D8" w14:textId="77777777" w:rsidR="00B351D3" w:rsidRPr="00B351D3" w:rsidRDefault="00B351D3" w:rsidP="00B351D3">
            <w:pPr>
              <w:suppressAutoHyphens w:val="0"/>
              <w:rPr>
                <w:rFonts w:ascii="Franklin Gothic Demi" w:eastAsia="Times New Roman" w:hAnsi="Franklin Gothic Demi" w:cs="Calibri"/>
                <w:color w:val="000000"/>
                <w:sz w:val="20"/>
                <w:szCs w:val="20"/>
                <w:lang w:eastAsia="en-KE"/>
              </w:rPr>
            </w:pPr>
            <w:r w:rsidRPr="00B351D3">
              <w:rPr>
                <w:rFonts w:ascii="Abadi Extra Light" w:eastAsia="Times New Roman" w:hAnsi="Abadi Extra Light" w:cs="Calibri"/>
                <w:color w:val="000000"/>
                <w:sz w:val="20"/>
                <w:szCs w:val="20"/>
                <w:lang w:eastAsia="en-KE"/>
              </w:rPr>
              <w:t>Established under Article 229 of the Constitution of Kenya, 2010; and Public Audit Act of 2015.</w:t>
            </w:r>
            <w:r w:rsidRPr="00B351D3">
              <w:rPr>
                <w:rFonts w:ascii="Abadi Extra Light" w:eastAsia="Times New Roman" w:hAnsi="Abadi Extra Light" w:cs="Calibri"/>
                <w:color w:val="000000"/>
                <w:sz w:val="20"/>
                <w:szCs w:val="20"/>
                <w:lang w:eastAsia="en-KE"/>
              </w:rPr>
              <w:br/>
              <w:t>Reviews the financial management of public sector entities and projects to ensure propriety and regularity.</w:t>
            </w:r>
            <w:r w:rsidRPr="00B351D3">
              <w:rPr>
                <w:rFonts w:ascii="Abadi Extra Light" w:eastAsia="Times New Roman" w:hAnsi="Abadi Extra Light" w:cs="Calibri"/>
                <w:color w:val="000000"/>
                <w:sz w:val="20"/>
                <w:szCs w:val="20"/>
                <w:lang w:eastAsia="en-KE"/>
              </w:rPr>
              <w:br/>
            </w:r>
          </w:p>
          <w:p w14:paraId="026EDF00" w14:textId="506F2105" w:rsidR="00B351D3" w:rsidRPr="00B351D3" w:rsidRDefault="00B351D3" w:rsidP="00B351D3">
            <w:pPr>
              <w:suppressAutoHyphens w:val="0"/>
              <w:rPr>
                <w:rFonts w:ascii="Abadi Extra Light" w:eastAsia="Times New Roman" w:hAnsi="Abadi Extra Light" w:cs="Calibri"/>
                <w:color w:val="000000"/>
                <w:sz w:val="20"/>
                <w:szCs w:val="20"/>
                <w:lang w:val="en-KE" w:eastAsia="en-KE"/>
              </w:rPr>
            </w:pPr>
            <w:r w:rsidRPr="00B351D3">
              <w:rPr>
                <w:rFonts w:ascii="Franklin Gothic Demi" w:eastAsia="Times New Roman" w:hAnsi="Franklin Gothic Demi" w:cs="Calibri"/>
                <w:color w:val="000000"/>
                <w:sz w:val="20"/>
                <w:szCs w:val="20"/>
                <w:lang w:eastAsia="en-KE"/>
              </w:rPr>
              <w:t>Challenge:</w:t>
            </w:r>
            <w:r w:rsidRPr="00B351D3">
              <w:rPr>
                <w:rFonts w:ascii="Abadi Extra Light" w:eastAsia="Times New Roman" w:hAnsi="Abadi Extra Light" w:cs="Calibri"/>
                <w:color w:val="000000"/>
                <w:sz w:val="20"/>
                <w:szCs w:val="20"/>
                <w:lang w:eastAsia="en-KE"/>
              </w:rPr>
              <w:t xml:space="preserve"> </w:t>
            </w:r>
            <w:r w:rsidRPr="00B351D3">
              <w:rPr>
                <w:rFonts w:ascii="Abadi Extra Light" w:eastAsia="Times New Roman" w:hAnsi="Abadi Extra Light" w:cs="Calibri"/>
                <w:color w:val="000000"/>
                <w:sz w:val="20"/>
                <w:szCs w:val="20"/>
                <w:lang w:eastAsia="en-KE"/>
              </w:rPr>
              <w:br/>
              <w:t>Delays in the publication of respective audit reports contrary to the PFM Act 2012 and the Public Audit Act, 2015 (Section 48)</w:t>
            </w:r>
          </w:p>
        </w:tc>
        <w:tc>
          <w:tcPr>
            <w:tcW w:w="4300" w:type="dxa"/>
            <w:shd w:val="clear" w:color="auto" w:fill="auto"/>
            <w:hideMark/>
          </w:tcPr>
          <w:p w14:paraId="726DC2C3" w14:textId="77777777" w:rsidR="00B351D3" w:rsidRPr="00B351D3" w:rsidRDefault="00B351D3" w:rsidP="00B351D3">
            <w:pPr>
              <w:suppressAutoHyphens w:val="0"/>
              <w:rPr>
                <w:rFonts w:ascii="Abadi Extra Light" w:eastAsia="Times New Roman" w:hAnsi="Abadi Extra Light" w:cs="Calibri"/>
                <w:color w:val="000000"/>
                <w:sz w:val="20"/>
                <w:szCs w:val="20"/>
                <w:lang w:val="en-KE" w:eastAsia="en-KE"/>
              </w:rPr>
            </w:pPr>
            <w:r w:rsidRPr="00B351D3">
              <w:rPr>
                <w:rFonts w:ascii="Abadi Extra Light" w:eastAsia="Times New Roman" w:hAnsi="Abadi Extra Light" w:cs="Calibri"/>
                <w:color w:val="000000"/>
                <w:sz w:val="20"/>
                <w:szCs w:val="20"/>
                <w:lang w:val="en-KE" w:eastAsia="en-KE"/>
              </w:rPr>
              <w:t>a. Advocacy for timely publishing of audit reports for public scrutiny and input.</w:t>
            </w:r>
          </w:p>
        </w:tc>
      </w:tr>
      <w:tr w:rsidR="00B351D3" w:rsidRPr="00B351D3" w14:paraId="277540F3" w14:textId="77777777" w:rsidTr="00373E9F">
        <w:trPr>
          <w:trHeight w:val="1140"/>
        </w:trPr>
        <w:tc>
          <w:tcPr>
            <w:tcW w:w="2580" w:type="dxa"/>
            <w:shd w:val="clear" w:color="auto" w:fill="auto"/>
            <w:hideMark/>
          </w:tcPr>
          <w:p w14:paraId="59D2D1CF" w14:textId="77777777" w:rsidR="00B351D3" w:rsidRPr="00B351D3" w:rsidRDefault="00B351D3" w:rsidP="00B351D3">
            <w:pPr>
              <w:suppressAutoHyphens w:val="0"/>
              <w:rPr>
                <w:rFonts w:ascii="Franklin Gothic Book" w:eastAsia="Times New Roman" w:hAnsi="Franklin Gothic Book" w:cs="Calibri"/>
                <w:color w:val="000000"/>
                <w:sz w:val="20"/>
                <w:szCs w:val="20"/>
                <w:lang w:val="en-KE" w:eastAsia="en-KE"/>
              </w:rPr>
            </w:pPr>
            <w:r w:rsidRPr="00B351D3">
              <w:rPr>
                <w:rFonts w:ascii="Franklin Gothic Book" w:eastAsia="Times New Roman" w:hAnsi="Franklin Gothic Book" w:cs="Calibri"/>
                <w:color w:val="000000"/>
                <w:sz w:val="20"/>
                <w:szCs w:val="20"/>
                <w:lang w:eastAsia="en-KE"/>
              </w:rPr>
              <w:t>Commission on Revenue Allocation (CRA)</w:t>
            </w:r>
          </w:p>
        </w:tc>
        <w:tc>
          <w:tcPr>
            <w:tcW w:w="7020" w:type="dxa"/>
            <w:shd w:val="clear" w:color="auto" w:fill="auto"/>
            <w:hideMark/>
          </w:tcPr>
          <w:p w14:paraId="43C6C7D1" w14:textId="77777777" w:rsidR="00B351D3" w:rsidRDefault="00B351D3" w:rsidP="00B351D3">
            <w:pPr>
              <w:suppressAutoHyphens w:val="0"/>
              <w:rPr>
                <w:rFonts w:ascii="Franklin Gothic Demi" w:eastAsia="Times New Roman" w:hAnsi="Franklin Gothic Demi" w:cs="Calibri"/>
                <w:color w:val="000000"/>
                <w:sz w:val="20"/>
                <w:szCs w:val="20"/>
                <w:lang w:eastAsia="en-KE"/>
              </w:rPr>
            </w:pPr>
            <w:r w:rsidRPr="00B351D3">
              <w:rPr>
                <w:rFonts w:ascii="Abadi Extra Light" w:eastAsia="Times New Roman" w:hAnsi="Abadi Extra Light" w:cs="Calibri"/>
                <w:color w:val="000000"/>
                <w:sz w:val="20"/>
                <w:szCs w:val="20"/>
                <w:lang w:eastAsia="en-KE"/>
              </w:rPr>
              <w:t>Established under Article 215 of the Constitution of Kenya 2010.</w:t>
            </w:r>
            <w:r w:rsidRPr="00B351D3">
              <w:rPr>
                <w:rFonts w:ascii="Abadi Extra Light" w:eastAsia="Times New Roman" w:hAnsi="Abadi Extra Light" w:cs="Calibri"/>
                <w:color w:val="000000"/>
                <w:sz w:val="20"/>
                <w:szCs w:val="20"/>
                <w:lang w:eastAsia="en-KE"/>
              </w:rPr>
              <w:br/>
              <w:t>It recommends the basis for equitable sharing of revenues raised nationally between the national and the county governments, and among the county governments.</w:t>
            </w:r>
            <w:r w:rsidRPr="00B351D3">
              <w:rPr>
                <w:rFonts w:ascii="Abadi Extra Light" w:eastAsia="Times New Roman" w:hAnsi="Abadi Extra Light" w:cs="Calibri"/>
                <w:color w:val="000000"/>
                <w:sz w:val="20"/>
                <w:szCs w:val="20"/>
                <w:lang w:eastAsia="en-KE"/>
              </w:rPr>
              <w:br/>
            </w:r>
          </w:p>
          <w:p w14:paraId="07C7D57C" w14:textId="601FECA8" w:rsidR="00B351D3" w:rsidRPr="00B351D3" w:rsidRDefault="00B351D3" w:rsidP="00B351D3">
            <w:pPr>
              <w:suppressAutoHyphens w:val="0"/>
              <w:rPr>
                <w:rFonts w:ascii="Abadi Extra Light" w:eastAsia="Times New Roman" w:hAnsi="Abadi Extra Light" w:cs="Calibri"/>
                <w:color w:val="000000"/>
                <w:sz w:val="20"/>
                <w:szCs w:val="20"/>
                <w:lang w:val="en-KE" w:eastAsia="en-KE"/>
              </w:rPr>
            </w:pPr>
            <w:r w:rsidRPr="00B351D3">
              <w:rPr>
                <w:rFonts w:ascii="Franklin Gothic Demi" w:eastAsia="Times New Roman" w:hAnsi="Franklin Gothic Demi" w:cs="Calibri"/>
                <w:color w:val="000000"/>
                <w:sz w:val="20"/>
                <w:szCs w:val="20"/>
                <w:lang w:eastAsia="en-KE"/>
              </w:rPr>
              <w:t>Challenge:</w:t>
            </w:r>
            <w:r w:rsidRPr="00B351D3">
              <w:rPr>
                <w:rFonts w:ascii="Abadi Extra Light" w:eastAsia="Times New Roman" w:hAnsi="Abadi Extra Light" w:cs="Calibri"/>
                <w:color w:val="000000"/>
                <w:sz w:val="20"/>
                <w:szCs w:val="20"/>
                <w:lang w:eastAsia="en-KE"/>
              </w:rPr>
              <w:t xml:space="preserve"> Delays in releasing revenue share recommendation</w:t>
            </w:r>
          </w:p>
        </w:tc>
        <w:tc>
          <w:tcPr>
            <w:tcW w:w="4300" w:type="dxa"/>
            <w:shd w:val="clear" w:color="auto" w:fill="auto"/>
            <w:hideMark/>
          </w:tcPr>
          <w:p w14:paraId="18559D03" w14:textId="77777777" w:rsidR="00B351D3" w:rsidRPr="00B351D3" w:rsidRDefault="00B351D3" w:rsidP="00B351D3">
            <w:pPr>
              <w:suppressAutoHyphens w:val="0"/>
              <w:rPr>
                <w:rFonts w:ascii="Abadi Extra Light" w:eastAsia="Times New Roman" w:hAnsi="Abadi Extra Light" w:cs="Calibri"/>
                <w:color w:val="000000"/>
                <w:sz w:val="20"/>
                <w:szCs w:val="20"/>
                <w:lang w:val="en-KE" w:eastAsia="en-KE"/>
              </w:rPr>
            </w:pPr>
            <w:r w:rsidRPr="00B351D3">
              <w:rPr>
                <w:rFonts w:ascii="Abadi Extra Light" w:eastAsia="Times New Roman" w:hAnsi="Abadi Extra Light" w:cs="Calibri"/>
                <w:color w:val="000000"/>
                <w:sz w:val="20"/>
                <w:szCs w:val="20"/>
                <w:lang w:val="en-KE" w:eastAsia="en-KE"/>
              </w:rPr>
              <w:t>a. Advocacy for timely release of revenue share reports for public scrutiny and input and review by the other stakeholders.</w:t>
            </w:r>
          </w:p>
        </w:tc>
      </w:tr>
      <w:tr w:rsidR="00B351D3" w:rsidRPr="00B351D3" w14:paraId="5186A8AF" w14:textId="77777777" w:rsidTr="00373E9F">
        <w:trPr>
          <w:trHeight w:val="860"/>
        </w:trPr>
        <w:tc>
          <w:tcPr>
            <w:tcW w:w="2580" w:type="dxa"/>
            <w:shd w:val="clear" w:color="auto" w:fill="auto"/>
            <w:noWrap/>
            <w:hideMark/>
          </w:tcPr>
          <w:p w14:paraId="58498158" w14:textId="77777777" w:rsidR="00B351D3" w:rsidRPr="00B351D3" w:rsidRDefault="00B351D3" w:rsidP="00B351D3">
            <w:pPr>
              <w:suppressAutoHyphens w:val="0"/>
              <w:rPr>
                <w:rFonts w:ascii="Franklin Gothic Book" w:eastAsia="Times New Roman" w:hAnsi="Franklin Gothic Book" w:cs="Calibri"/>
                <w:color w:val="000000"/>
                <w:sz w:val="20"/>
                <w:szCs w:val="20"/>
                <w:lang w:val="en-KE" w:eastAsia="en-KE"/>
              </w:rPr>
            </w:pPr>
            <w:r w:rsidRPr="00B351D3">
              <w:rPr>
                <w:rFonts w:ascii="Franklin Gothic Book" w:eastAsia="Times New Roman" w:hAnsi="Franklin Gothic Book" w:cs="Calibri"/>
                <w:color w:val="000000"/>
                <w:sz w:val="20"/>
                <w:szCs w:val="20"/>
                <w:lang w:val="en-KE" w:eastAsia="en-KE"/>
              </w:rPr>
              <w:t>Judiciary</w:t>
            </w:r>
          </w:p>
        </w:tc>
        <w:tc>
          <w:tcPr>
            <w:tcW w:w="7020" w:type="dxa"/>
            <w:shd w:val="clear" w:color="auto" w:fill="auto"/>
            <w:hideMark/>
          </w:tcPr>
          <w:p w14:paraId="784A7DBF" w14:textId="77777777" w:rsidR="00B351D3" w:rsidRDefault="00B351D3" w:rsidP="00B351D3">
            <w:pPr>
              <w:suppressAutoHyphens w:val="0"/>
              <w:rPr>
                <w:rFonts w:ascii="Franklin Gothic Demi" w:eastAsia="Times New Roman" w:hAnsi="Franklin Gothic Demi" w:cs="Calibri"/>
                <w:color w:val="000000"/>
                <w:sz w:val="20"/>
                <w:szCs w:val="20"/>
                <w:lang w:val="en-KE" w:eastAsia="en-KE"/>
              </w:rPr>
            </w:pPr>
            <w:r w:rsidRPr="00B351D3">
              <w:rPr>
                <w:rFonts w:ascii="Abadi Extra Light" w:eastAsia="Times New Roman" w:hAnsi="Abadi Extra Light" w:cs="Calibri"/>
                <w:color w:val="000000"/>
                <w:sz w:val="20"/>
                <w:szCs w:val="20"/>
                <w:lang w:val="en-KE" w:eastAsia="en-KE"/>
              </w:rPr>
              <w:t>Ensures compliance to set PFM laws by institutions and individuals and provides legal recourse for noncompliance.</w:t>
            </w:r>
            <w:r w:rsidRPr="00B351D3">
              <w:rPr>
                <w:rFonts w:ascii="Abadi Extra Light" w:eastAsia="Times New Roman" w:hAnsi="Abadi Extra Light" w:cs="Calibri"/>
                <w:color w:val="000000"/>
                <w:sz w:val="20"/>
                <w:szCs w:val="20"/>
                <w:lang w:val="en-KE" w:eastAsia="en-KE"/>
              </w:rPr>
              <w:br/>
            </w:r>
          </w:p>
          <w:p w14:paraId="16F3E95C" w14:textId="3BEC6E26" w:rsidR="00B351D3" w:rsidRPr="00B351D3" w:rsidRDefault="00B351D3" w:rsidP="00B351D3">
            <w:pPr>
              <w:suppressAutoHyphens w:val="0"/>
              <w:rPr>
                <w:rFonts w:ascii="Abadi Extra Light" w:eastAsia="Times New Roman" w:hAnsi="Abadi Extra Light" w:cs="Calibri"/>
                <w:color w:val="000000"/>
                <w:sz w:val="20"/>
                <w:szCs w:val="20"/>
                <w:lang w:val="en-KE" w:eastAsia="en-KE"/>
              </w:rPr>
            </w:pPr>
            <w:r w:rsidRPr="00B351D3">
              <w:rPr>
                <w:rFonts w:ascii="Franklin Gothic Demi" w:eastAsia="Times New Roman" w:hAnsi="Franklin Gothic Demi" w:cs="Calibri"/>
                <w:color w:val="000000"/>
                <w:sz w:val="20"/>
                <w:szCs w:val="20"/>
                <w:lang w:val="en-KE" w:eastAsia="en-KE"/>
              </w:rPr>
              <w:t>Challenge:</w:t>
            </w:r>
            <w:r w:rsidRPr="00B351D3">
              <w:rPr>
                <w:rFonts w:ascii="Abadi Extra Light" w:eastAsia="Times New Roman" w:hAnsi="Abadi Extra Light" w:cs="Calibri"/>
                <w:color w:val="000000"/>
                <w:sz w:val="20"/>
                <w:szCs w:val="20"/>
                <w:lang w:val="en-KE" w:eastAsia="en-KE"/>
              </w:rPr>
              <w:t xml:space="preserve"> Delays in the judicial processing of cases</w:t>
            </w:r>
          </w:p>
        </w:tc>
        <w:tc>
          <w:tcPr>
            <w:tcW w:w="4300" w:type="dxa"/>
            <w:shd w:val="clear" w:color="auto" w:fill="auto"/>
            <w:hideMark/>
          </w:tcPr>
          <w:p w14:paraId="264C207A" w14:textId="77777777" w:rsidR="00B351D3" w:rsidRPr="00B351D3" w:rsidRDefault="00B351D3" w:rsidP="00B351D3">
            <w:pPr>
              <w:suppressAutoHyphens w:val="0"/>
              <w:rPr>
                <w:rFonts w:ascii="Abadi Extra Light" w:eastAsia="Times New Roman" w:hAnsi="Abadi Extra Light" w:cs="Calibri"/>
                <w:color w:val="000000"/>
                <w:sz w:val="20"/>
                <w:szCs w:val="20"/>
                <w:lang w:val="en-KE" w:eastAsia="en-KE"/>
              </w:rPr>
            </w:pPr>
            <w:r w:rsidRPr="00B351D3">
              <w:rPr>
                <w:rFonts w:ascii="Abadi Extra Light" w:eastAsia="Times New Roman" w:hAnsi="Abadi Extra Light" w:cs="Calibri"/>
                <w:color w:val="000000"/>
                <w:sz w:val="20"/>
                <w:szCs w:val="20"/>
                <w:lang w:val="en-KE" w:eastAsia="en-KE"/>
              </w:rPr>
              <w:t>a. Advocacy for fast tracking of PFM accountability related cases.</w:t>
            </w:r>
          </w:p>
        </w:tc>
      </w:tr>
      <w:tr w:rsidR="00B351D3" w:rsidRPr="00B351D3" w14:paraId="4B7947B6" w14:textId="77777777" w:rsidTr="00373E9F">
        <w:trPr>
          <w:trHeight w:val="1120"/>
        </w:trPr>
        <w:tc>
          <w:tcPr>
            <w:tcW w:w="2580" w:type="dxa"/>
            <w:shd w:val="clear" w:color="auto" w:fill="auto"/>
            <w:noWrap/>
            <w:hideMark/>
          </w:tcPr>
          <w:p w14:paraId="36021C8A" w14:textId="77777777" w:rsidR="00B351D3" w:rsidRPr="00B351D3" w:rsidRDefault="00B351D3" w:rsidP="00B351D3">
            <w:pPr>
              <w:suppressAutoHyphens w:val="0"/>
              <w:rPr>
                <w:rFonts w:ascii="Franklin Gothic Book" w:eastAsia="Times New Roman" w:hAnsi="Franklin Gothic Book" w:cs="Calibri"/>
                <w:color w:val="000000"/>
                <w:sz w:val="20"/>
                <w:szCs w:val="20"/>
                <w:lang w:val="en-KE" w:eastAsia="en-KE"/>
              </w:rPr>
            </w:pPr>
            <w:r w:rsidRPr="00B351D3">
              <w:rPr>
                <w:rFonts w:ascii="Franklin Gothic Book" w:eastAsia="Times New Roman" w:hAnsi="Franklin Gothic Book" w:cs="Calibri"/>
                <w:color w:val="000000"/>
                <w:sz w:val="20"/>
                <w:szCs w:val="20"/>
                <w:lang w:val="en-KE" w:eastAsia="en-KE"/>
              </w:rPr>
              <w:t>MOH &amp; CDOH</w:t>
            </w:r>
          </w:p>
        </w:tc>
        <w:tc>
          <w:tcPr>
            <w:tcW w:w="7020" w:type="dxa"/>
            <w:shd w:val="clear" w:color="auto" w:fill="auto"/>
            <w:hideMark/>
          </w:tcPr>
          <w:p w14:paraId="56D8A642" w14:textId="77777777" w:rsidR="00B351D3" w:rsidRDefault="00B351D3" w:rsidP="00B351D3">
            <w:pPr>
              <w:suppressAutoHyphens w:val="0"/>
              <w:rPr>
                <w:rFonts w:ascii="Franklin Gothic Demi" w:eastAsia="Times New Roman" w:hAnsi="Franklin Gothic Demi" w:cs="Calibri"/>
                <w:color w:val="000000"/>
                <w:sz w:val="20"/>
                <w:szCs w:val="20"/>
                <w:lang w:eastAsia="en-KE"/>
              </w:rPr>
            </w:pPr>
            <w:r w:rsidRPr="00B351D3">
              <w:rPr>
                <w:rFonts w:ascii="Abadi Extra Light" w:eastAsia="Times New Roman" w:hAnsi="Abadi Extra Light" w:cs="Calibri"/>
                <w:color w:val="000000"/>
                <w:sz w:val="20"/>
                <w:szCs w:val="20"/>
                <w:lang w:eastAsia="en-KE"/>
              </w:rPr>
              <w:t xml:space="preserve">Essential in the formulation, lobbying for approval, </w:t>
            </w:r>
            <w:proofErr w:type="gramStart"/>
            <w:r w:rsidRPr="00B351D3">
              <w:rPr>
                <w:rFonts w:ascii="Abadi Extra Light" w:eastAsia="Times New Roman" w:hAnsi="Abadi Extra Light" w:cs="Calibri"/>
                <w:color w:val="000000"/>
                <w:sz w:val="20"/>
                <w:szCs w:val="20"/>
                <w:lang w:eastAsia="en-KE"/>
              </w:rPr>
              <w:t>oversight</w:t>
            </w:r>
            <w:proofErr w:type="gramEnd"/>
            <w:r w:rsidRPr="00B351D3">
              <w:rPr>
                <w:rFonts w:ascii="Abadi Extra Light" w:eastAsia="Times New Roman" w:hAnsi="Abadi Extra Light" w:cs="Calibri"/>
                <w:color w:val="000000"/>
                <w:sz w:val="20"/>
                <w:szCs w:val="20"/>
                <w:lang w:eastAsia="en-KE"/>
              </w:rPr>
              <w:t xml:space="preserve"> and utilization of resources for health.</w:t>
            </w:r>
            <w:r w:rsidRPr="00B351D3">
              <w:rPr>
                <w:rFonts w:ascii="Abadi Extra Light" w:eastAsia="Times New Roman" w:hAnsi="Abadi Extra Light" w:cs="Calibri"/>
                <w:color w:val="000000"/>
                <w:sz w:val="20"/>
                <w:szCs w:val="20"/>
                <w:lang w:eastAsia="en-KE"/>
              </w:rPr>
              <w:br/>
            </w:r>
          </w:p>
          <w:p w14:paraId="0A0DA13E" w14:textId="5CC6EF56" w:rsidR="00B351D3" w:rsidRPr="00B351D3" w:rsidRDefault="00B351D3" w:rsidP="00B351D3">
            <w:pPr>
              <w:suppressAutoHyphens w:val="0"/>
              <w:rPr>
                <w:rFonts w:ascii="Abadi Extra Light" w:eastAsia="Times New Roman" w:hAnsi="Abadi Extra Light" w:cs="Calibri"/>
                <w:color w:val="000000"/>
                <w:sz w:val="20"/>
                <w:szCs w:val="20"/>
                <w:lang w:val="en-KE" w:eastAsia="en-KE"/>
              </w:rPr>
            </w:pPr>
            <w:r w:rsidRPr="00B351D3">
              <w:rPr>
                <w:rFonts w:ascii="Franklin Gothic Demi" w:eastAsia="Times New Roman" w:hAnsi="Franklin Gothic Demi" w:cs="Calibri"/>
                <w:color w:val="000000"/>
                <w:sz w:val="20"/>
                <w:szCs w:val="20"/>
                <w:lang w:eastAsia="en-KE"/>
              </w:rPr>
              <w:t>Challenge:</w:t>
            </w:r>
            <w:r w:rsidRPr="00B351D3">
              <w:rPr>
                <w:rFonts w:ascii="Abadi Extra Light" w:eastAsia="Times New Roman" w:hAnsi="Abadi Extra Light" w:cs="Calibri"/>
                <w:color w:val="000000"/>
                <w:sz w:val="20"/>
                <w:szCs w:val="20"/>
                <w:lang w:eastAsia="en-KE"/>
              </w:rPr>
              <w:t xml:space="preserve"> Limited capacity in PFM Systems, MTEF and PBB</w:t>
            </w:r>
          </w:p>
        </w:tc>
        <w:tc>
          <w:tcPr>
            <w:tcW w:w="4300" w:type="dxa"/>
            <w:shd w:val="clear" w:color="auto" w:fill="auto"/>
            <w:hideMark/>
          </w:tcPr>
          <w:p w14:paraId="47EF8976" w14:textId="77777777" w:rsidR="00B351D3" w:rsidRPr="00B351D3" w:rsidRDefault="00B351D3" w:rsidP="00B351D3">
            <w:pPr>
              <w:suppressAutoHyphens w:val="0"/>
              <w:rPr>
                <w:rFonts w:ascii="Abadi Extra Light" w:eastAsia="Times New Roman" w:hAnsi="Abadi Extra Light" w:cs="Calibri"/>
                <w:color w:val="000000"/>
                <w:sz w:val="20"/>
                <w:szCs w:val="20"/>
                <w:lang w:val="en-KE" w:eastAsia="en-KE"/>
              </w:rPr>
            </w:pPr>
            <w:r w:rsidRPr="00B351D3">
              <w:rPr>
                <w:rFonts w:ascii="Abadi Extra Light" w:eastAsia="Times New Roman" w:hAnsi="Abadi Extra Light" w:cs="Calibri"/>
                <w:color w:val="000000"/>
                <w:sz w:val="20"/>
                <w:szCs w:val="20"/>
                <w:lang w:val="en-KE" w:eastAsia="en-KE"/>
              </w:rPr>
              <w:t>Need capacity building on:</w:t>
            </w:r>
            <w:r w:rsidRPr="00B351D3">
              <w:rPr>
                <w:rFonts w:ascii="Abadi Extra Light" w:eastAsia="Times New Roman" w:hAnsi="Abadi Extra Light" w:cs="Calibri"/>
                <w:color w:val="000000"/>
                <w:sz w:val="20"/>
                <w:szCs w:val="20"/>
                <w:lang w:val="en-KE" w:eastAsia="en-KE"/>
              </w:rPr>
              <w:br/>
              <w:t>a. PFM systems including expenditure rules and regulations, audit.</w:t>
            </w:r>
            <w:r w:rsidRPr="00B351D3">
              <w:rPr>
                <w:rFonts w:ascii="Abadi Extra Light" w:eastAsia="Times New Roman" w:hAnsi="Abadi Extra Light" w:cs="Calibri"/>
                <w:color w:val="000000"/>
                <w:sz w:val="20"/>
                <w:szCs w:val="20"/>
                <w:lang w:val="en-KE" w:eastAsia="en-KE"/>
              </w:rPr>
              <w:br/>
              <w:t>b. PBB and MTEF</w:t>
            </w:r>
          </w:p>
        </w:tc>
      </w:tr>
      <w:tr w:rsidR="00B351D3" w:rsidRPr="00B351D3" w14:paraId="77CAE90D" w14:textId="77777777" w:rsidTr="00373E9F">
        <w:trPr>
          <w:trHeight w:val="1120"/>
        </w:trPr>
        <w:tc>
          <w:tcPr>
            <w:tcW w:w="2580" w:type="dxa"/>
            <w:shd w:val="clear" w:color="auto" w:fill="auto"/>
            <w:noWrap/>
            <w:hideMark/>
          </w:tcPr>
          <w:p w14:paraId="06C0F4C7" w14:textId="77777777" w:rsidR="00B351D3" w:rsidRPr="00B351D3" w:rsidRDefault="00B351D3" w:rsidP="00B351D3">
            <w:pPr>
              <w:suppressAutoHyphens w:val="0"/>
              <w:rPr>
                <w:rFonts w:ascii="Franklin Gothic Book" w:eastAsia="Times New Roman" w:hAnsi="Franklin Gothic Book" w:cs="Calibri"/>
                <w:color w:val="000000"/>
                <w:sz w:val="20"/>
                <w:szCs w:val="20"/>
                <w:lang w:val="en-KE" w:eastAsia="en-KE"/>
              </w:rPr>
            </w:pPr>
            <w:r w:rsidRPr="00B351D3">
              <w:rPr>
                <w:rFonts w:ascii="Franklin Gothic Book" w:eastAsia="Times New Roman" w:hAnsi="Franklin Gothic Book" w:cs="Calibri"/>
                <w:color w:val="000000"/>
                <w:sz w:val="20"/>
                <w:szCs w:val="20"/>
                <w:lang w:val="en-KE" w:eastAsia="en-KE"/>
              </w:rPr>
              <w:t>National Treasury</w:t>
            </w:r>
          </w:p>
        </w:tc>
        <w:tc>
          <w:tcPr>
            <w:tcW w:w="7020" w:type="dxa"/>
            <w:shd w:val="clear" w:color="auto" w:fill="auto"/>
            <w:hideMark/>
          </w:tcPr>
          <w:p w14:paraId="337B19BC" w14:textId="77777777" w:rsidR="00B351D3" w:rsidRPr="00B351D3" w:rsidRDefault="00B351D3" w:rsidP="00B351D3">
            <w:pPr>
              <w:suppressAutoHyphens w:val="0"/>
              <w:rPr>
                <w:rFonts w:ascii="Franklin Gothic Demi" w:eastAsia="Times New Roman" w:hAnsi="Franklin Gothic Demi" w:cs="Calibri"/>
                <w:color w:val="000000"/>
                <w:sz w:val="20"/>
                <w:szCs w:val="20"/>
                <w:lang w:eastAsia="en-KE"/>
              </w:rPr>
            </w:pPr>
            <w:r w:rsidRPr="00B351D3">
              <w:rPr>
                <w:rFonts w:ascii="Abadi Extra Light" w:eastAsia="Times New Roman" w:hAnsi="Abadi Extra Light" w:cs="Calibri"/>
                <w:color w:val="000000"/>
                <w:sz w:val="20"/>
                <w:szCs w:val="20"/>
                <w:lang w:eastAsia="en-KE"/>
              </w:rPr>
              <w:t>a. Enforces fiscal responsibility principles in public finance management in the country.</w:t>
            </w:r>
            <w:r w:rsidRPr="00B351D3">
              <w:rPr>
                <w:rFonts w:ascii="Abadi Extra Light" w:eastAsia="Times New Roman" w:hAnsi="Abadi Extra Light" w:cs="Calibri"/>
                <w:color w:val="000000"/>
                <w:sz w:val="20"/>
                <w:szCs w:val="20"/>
                <w:lang w:eastAsia="en-KE"/>
              </w:rPr>
              <w:br/>
              <w:t xml:space="preserve">b. Implementation of the Medium-Term Expenditure Framework (MTEF). </w:t>
            </w:r>
            <w:r w:rsidRPr="00B351D3">
              <w:rPr>
                <w:rFonts w:ascii="Abadi Extra Light" w:eastAsia="Times New Roman" w:hAnsi="Abadi Extra Light" w:cs="Calibri"/>
                <w:color w:val="000000"/>
                <w:sz w:val="20"/>
                <w:szCs w:val="20"/>
                <w:lang w:eastAsia="en-KE"/>
              </w:rPr>
              <w:br/>
              <w:t>c. MTEF provides for the publishing of the Economic and Fiscal Update, Fiscal Framework Statement, Budget Policy Statement and Corporate Plans of Ministries, State agencies and county governments.</w:t>
            </w:r>
            <w:r w:rsidRPr="00B351D3">
              <w:rPr>
                <w:rFonts w:ascii="Abadi Extra Light" w:eastAsia="Times New Roman" w:hAnsi="Abadi Extra Light" w:cs="Calibri"/>
                <w:color w:val="000000"/>
                <w:sz w:val="20"/>
                <w:szCs w:val="20"/>
                <w:lang w:eastAsia="en-KE"/>
              </w:rPr>
              <w:br/>
              <w:t>d. Implementation of the Integrated Financial Management Information System (IFMIS) with a view to automating the Public Finance Management processes</w:t>
            </w:r>
            <w:r w:rsidRPr="00B351D3">
              <w:rPr>
                <w:rFonts w:ascii="Abadi Extra Light" w:eastAsia="Times New Roman" w:hAnsi="Abadi Extra Light" w:cs="Calibri"/>
                <w:color w:val="000000"/>
                <w:sz w:val="20"/>
                <w:szCs w:val="20"/>
                <w:lang w:eastAsia="en-KE"/>
              </w:rPr>
              <w:br/>
            </w:r>
          </w:p>
          <w:p w14:paraId="149717EB" w14:textId="77777777" w:rsidR="00B351D3" w:rsidRPr="00B351D3" w:rsidRDefault="00B351D3" w:rsidP="00B351D3">
            <w:pPr>
              <w:suppressAutoHyphens w:val="0"/>
              <w:rPr>
                <w:rFonts w:ascii="Abadi Extra Light" w:eastAsia="Times New Roman" w:hAnsi="Abadi Extra Light" w:cs="Calibri"/>
                <w:color w:val="000000"/>
                <w:sz w:val="20"/>
                <w:szCs w:val="20"/>
                <w:lang w:eastAsia="en-KE"/>
              </w:rPr>
            </w:pPr>
            <w:r w:rsidRPr="00B351D3">
              <w:rPr>
                <w:rFonts w:ascii="Franklin Gothic Demi" w:eastAsia="Times New Roman" w:hAnsi="Franklin Gothic Demi" w:cs="Calibri"/>
                <w:color w:val="000000"/>
                <w:sz w:val="20"/>
                <w:szCs w:val="20"/>
                <w:lang w:eastAsia="en-KE"/>
              </w:rPr>
              <w:t xml:space="preserve">Challenge: </w:t>
            </w:r>
            <w:r w:rsidRPr="00B351D3">
              <w:rPr>
                <w:rFonts w:ascii="Abadi Extra Light" w:eastAsia="Times New Roman" w:hAnsi="Abadi Extra Light" w:cs="Calibri"/>
                <w:color w:val="000000"/>
                <w:sz w:val="20"/>
                <w:szCs w:val="20"/>
                <w:lang w:eastAsia="en-KE"/>
              </w:rPr>
              <w:t>Weak implementation of MTEF and PBB</w:t>
            </w:r>
          </w:p>
        </w:tc>
        <w:tc>
          <w:tcPr>
            <w:tcW w:w="4300" w:type="dxa"/>
            <w:shd w:val="clear" w:color="auto" w:fill="auto"/>
            <w:hideMark/>
          </w:tcPr>
          <w:p w14:paraId="037D44F4" w14:textId="77777777" w:rsidR="00B351D3" w:rsidRPr="00B351D3" w:rsidRDefault="00B351D3" w:rsidP="00B351D3">
            <w:pPr>
              <w:suppressAutoHyphens w:val="0"/>
              <w:rPr>
                <w:rFonts w:ascii="Abadi Extra Light" w:eastAsia="Times New Roman" w:hAnsi="Abadi Extra Light" w:cs="Calibri"/>
                <w:color w:val="000000"/>
                <w:sz w:val="20"/>
                <w:szCs w:val="20"/>
                <w:lang w:val="en-KE" w:eastAsia="en-KE"/>
              </w:rPr>
            </w:pPr>
            <w:r w:rsidRPr="00B351D3">
              <w:rPr>
                <w:rFonts w:ascii="Abadi Extra Light" w:eastAsia="Times New Roman" w:hAnsi="Abadi Extra Light" w:cs="Calibri"/>
                <w:color w:val="000000"/>
                <w:sz w:val="20"/>
                <w:szCs w:val="20"/>
                <w:lang w:val="en-KE" w:eastAsia="en-KE"/>
              </w:rPr>
              <w:t>Need capacity building in implementation of MTEF and PBB</w:t>
            </w:r>
          </w:p>
        </w:tc>
      </w:tr>
    </w:tbl>
    <w:p w14:paraId="521C9415" w14:textId="77777777" w:rsidR="00086021" w:rsidRDefault="00086021"/>
    <w:p w14:paraId="2D69CD96" w14:textId="77777777" w:rsidR="00086021" w:rsidRDefault="00086021"/>
    <w:p w14:paraId="4F00B2CE" w14:textId="4E7E94BC" w:rsidR="00086021" w:rsidRDefault="00086021">
      <w:pPr>
        <w:pStyle w:val="BodyText"/>
        <w:rPr>
          <w:sz w:val="20"/>
          <w:szCs w:val="20"/>
        </w:rPr>
      </w:pPr>
    </w:p>
    <w:p w14:paraId="531A1851" w14:textId="1FA7700F" w:rsidR="00086021" w:rsidRDefault="009E19AB">
      <w:pPr>
        <w:pStyle w:val="BodyText"/>
        <w:ind w:left="540" w:right="449"/>
        <w:rPr>
          <w:sz w:val="20"/>
          <w:szCs w:val="20"/>
        </w:rPr>
      </w:pPr>
      <w:r>
        <w:rPr>
          <w:sz w:val="20"/>
          <w:szCs w:val="20"/>
        </w:rPr>
        <w:t>.</w:t>
      </w:r>
    </w:p>
    <w:p w14:paraId="2B23BE7C" w14:textId="77777777" w:rsidR="00086021" w:rsidRDefault="00086021"/>
    <w:p w14:paraId="154F5379" w14:textId="77777777" w:rsidR="00086021" w:rsidRDefault="00086021"/>
    <w:p w14:paraId="1F41F3D1" w14:textId="77777777" w:rsidR="00086021" w:rsidRDefault="00086021"/>
    <w:p w14:paraId="40336EDE" w14:textId="77777777" w:rsidR="00086021" w:rsidRDefault="00086021"/>
    <w:p w14:paraId="1031219A" w14:textId="77777777" w:rsidR="00086021" w:rsidRDefault="00086021"/>
    <w:tbl>
      <w:tblPr>
        <w:tblW w:w="13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0"/>
        <w:gridCol w:w="7020"/>
        <w:gridCol w:w="4300"/>
      </w:tblGrid>
      <w:tr w:rsidR="00B351D3" w:rsidRPr="00B351D3" w14:paraId="52C0E601" w14:textId="77777777" w:rsidTr="00B351D3">
        <w:trPr>
          <w:trHeight w:val="300"/>
        </w:trPr>
        <w:tc>
          <w:tcPr>
            <w:tcW w:w="2580" w:type="dxa"/>
            <w:shd w:val="clear" w:color="auto" w:fill="C00000"/>
            <w:noWrap/>
            <w:hideMark/>
          </w:tcPr>
          <w:p w14:paraId="2CD8F313" w14:textId="77777777" w:rsidR="00B351D3" w:rsidRPr="00B351D3" w:rsidRDefault="00B351D3" w:rsidP="00B351D3">
            <w:pPr>
              <w:suppressAutoHyphens w:val="0"/>
              <w:rPr>
                <w:rFonts w:ascii="Franklin Gothic Demi" w:eastAsia="Times New Roman" w:hAnsi="Franklin Gothic Demi" w:cs="Calibri"/>
                <w:color w:val="FFFFFF"/>
                <w:sz w:val="22"/>
                <w:szCs w:val="22"/>
                <w:lang w:val="en-KE" w:eastAsia="en-KE"/>
              </w:rPr>
            </w:pPr>
            <w:r w:rsidRPr="00B351D3">
              <w:rPr>
                <w:rFonts w:ascii="Franklin Gothic Demi" w:eastAsia="Times New Roman" w:hAnsi="Franklin Gothic Demi" w:cs="Calibri"/>
                <w:color w:val="FFFFFF"/>
                <w:sz w:val="22"/>
                <w:szCs w:val="22"/>
                <w:lang w:val="en-KE" w:eastAsia="en-KE"/>
              </w:rPr>
              <w:t>System</w:t>
            </w:r>
          </w:p>
        </w:tc>
        <w:tc>
          <w:tcPr>
            <w:tcW w:w="7020" w:type="dxa"/>
            <w:shd w:val="clear" w:color="auto" w:fill="C00000"/>
            <w:noWrap/>
            <w:hideMark/>
          </w:tcPr>
          <w:p w14:paraId="19F1F94C" w14:textId="77777777" w:rsidR="00B351D3" w:rsidRPr="00B351D3" w:rsidRDefault="00B351D3" w:rsidP="00B351D3">
            <w:pPr>
              <w:suppressAutoHyphens w:val="0"/>
              <w:rPr>
                <w:rFonts w:ascii="Franklin Gothic Demi" w:eastAsia="Times New Roman" w:hAnsi="Franklin Gothic Demi" w:cs="Calibri"/>
                <w:color w:val="FFFFFF"/>
                <w:sz w:val="22"/>
                <w:szCs w:val="22"/>
                <w:lang w:val="en-KE" w:eastAsia="en-KE"/>
              </w:rPr>
            </w:pPr>
            <w:r w:rsidRPr="00B351D3">
              <w:rPr>
                <w:rFonts w:ascii="Franklin Gothic Demi" w:eastAsia="Times New Roman" w:hAnsi="Franklin Gothic Demi" w:cs="Calibri"/>
                <w:color w:val="FFFFFF"/>
                <w:sz w:val="22"/>
                <w:szCs w:val="22"/>
                <w:lang w:val="en-KE" w:eastAsia="en-KE"/>
              </w:rPr>
              <w:t>Description</w:t>
            </w:r>
          </w:p>
        </w:tc>
        <w:tc>
          <w:tcPr>
            <w:tcW w:w="4300" w:type="dxa"/>
            <w:shd w:val="clear" w:color="auto" w:fill="C00000"/>
            <w:noWrap/>
            <w:hideMark/>
          </w:tcPr>
          <w:p w14:paraId="72F59779" w14:textId="77777777" w:rsidR="00B351D3" w:rsidRPr="00B351D3" w:rsidRDefault="00B351D3" w:rsidP="00B351D3">
            <w:pPr>
              <w:suppressAutoHyphens w:val="0"/>
              <w:rPr>
                <w:rFonts w:ascii="Franklin Gothic Demi" w:eastAsia="Times New Roman" w:hAnsi="Franklin Gothic Demi" w:cs="Calibri"/>
                <w:color w:val="FFFFFF"/>
                <w:sz w:val="22"/>
                <w:szCs w:val="22"/>
                <w:lang w:val="en-KE" w:eastAsia="en-KE"/>
              </w:rPr>
            </w:pPr>
            <w:r w:rsidRPr="00B351D3">
              <w:rPr>
                <w:rFonts w:ascii="Franklin Gothic Demi" w:eastAsia="Times New Roman" w:hAnsi="Franklin Gothic Demi" w:cs="Calibri"/>
                <w:color w:val="FFFFFF"/>
                <w:sz w:val="22"/>
                <w:szCs w:val="22"/>
                <w:lang w:val="en-KE" w:eastAsia="en-KE"/>
              </w:rPr>
              <w:t>Significance &amp; Opportunities</w:t>
            </w:r>
          </w:p>
        </w:tc>
      </w:tr>
      <w:tr w:rsidR="00B351D3" w:rsidRPr="00B351D3" w14:paraId="33A53FB6" w14:textId="77777777" w:rsidTr="00373E9F">
        <w:trPr>
          <w:trHeight w:val="1120"/>
        </w:trPr>
        <w:tc>
          <w:tcPr>
            <w:tcW w:w="2580" w:type="dxa"/>
            <w:shd w:val="clear" w:color="auto" w:fill="auto"/>
            <w:noWrap/>
            <w:hideMark/>
          </w:tcPr>
          <w:p w14:paraId="4D44A7AD" w14:textId="77777777" w:rsidR="00B351D3" w:rsidRPr="00B351D3" w:rsidRDefault="00B351D3" w:rsidP="00B351D3">
            <w:pPr>
              <w:suppressAutoHyphens w:val="0"/>
              <w:rPr>
                <w:rFonts w:ascii="Franklin Gothic Book" w:eastAsia="Times New Roman" w:hAnsi="Franklin Gothic Book" w:cs="Calibri"/>
                <w:color w:val="000000"/>
                <w:sz w:val="20"/>
                <w:szCs w:val="20"/>
                <w:lang w:val="en-KE" w:eastAsia="en-KE"/>
              </w:rPr>
            </w:pPr>
            <w:r w:rsidRPr="00B351D3">
              <w:rPr>
                <w:rFonts w:ascii="Franklin Gothic Book" w:eastAsia="Times New Roman" w:hAnsi="Franklin Gothic Book" w:cs="Calibri"/>
                <w:color w:val="000000"/>
                <w:sz w:val="20"/>
                <w:szCs w:val="20"/>
                <w:lang w:val="en-KE" w:eastAsia="en-KE"/>
              </w:rPr>
              <w:t>Parliament &amp; Senate Assemblies</w:t>
            </w:r>
          </w:p>
        </w:tc>
        <w:tc>
          <w:tcPr>
            <w:tcW w:w="7020" w:type="dxa"/>
            <w:shd w:val="clear" w:color="auto" w:fill="auto"/>
            <w:hideMark/>
          </w:tcPr>
          <w:p w14:paraId="5DE18697" w14:textId="77777777" w:rsidR="00B351D3" w:rsidRPr="00B351D3" w:rsidRDefault="00B351D3" w:rsidP="00B351D3">
            <w:pPr>
              <w:numPr>
                <w:ilvl w:val="0"/>
                <w:numId w:val="28"/>
              </w:numPr>
              <w:suppressAutoHyphens w:val="0"/>
              <w:spacing w:after="200" w:line="288" w:lineRule="auto"/>
              <w:contextualSpacing/>
              <w:rPr>
                <w:rFonts w:ascii="Abadi Extra Light" w:eastAsia="Times New Roman" w:hAnsi="Abadi Extra Light" w:cs="Calibri"/>
                <w:color w:val="000000"/>
                <w:sz w:val="20"/>
                <w:szCs w:val="20"/>
                <w:lang w:eastAsia="en-KE"/>
              </w:rPr>
            </w:pPr>
            <w:r w:rsidRPr="00B351D3">
              <w:rPr>
                <w:rFonts w:ascii="Abadi Extra Light" w:eastAsia="Times New Roman" w:hAnsi="Abadi Extra Light" w:cs="Calibri"/>
                <w:color w:val="000000"/>
                <w:sz w:val="20"/>
                <w:szCs w:val="20"/>
                <w:lang w:eastAsia="en-KE"/>
              </w:rPr>
              <w:t>The legislative authorization by the legislative assemblies is enshrined in the Constitution of Kenya, 2010 as well as the Public Finance Management Act, 2012 Aritcles 7-10.</w:t>
            </w:r>
          </w:p>
          <w:p w14:paraId="2FF53A87" w14:textId="77777777" w:rsidR="00B351D3" w:rsidRPr="00B351D3" w:rsidRDefault="00B351D3" w:rsidP="00B351D3">
            <w:pPr>
              <w:numPr>
                <w:ilvl w:val="0"/>
                <w:numId w:val="28"/>
              </w:numPr>
              <w:suppressAutoHyphens w:val="0"/>
              <w:spacing w:after="200" w:line="288" w:lineRule="auto"/>
              <w:contextualSpacing/>
              <w:rPr>
                <w:rFonts w:ascii="Abadi Extra Light" w:eastAsia="Times New Roman" w:hAnsi="Abadi Extra Light" w:cs="Calibri"/>
                <w:color w:val="000000"/>
                <w:sz w:val="20"/>
                <w:szCs w:val="20"/>
                <w:lang w:eastAsia="en-KE"/>
              </w:rPr>
            </w:pPr>
            <w:r w:rsidRPr="00B351D3">
              <w:rPr>
                <w:rFonts w:ascii="Abadi Extra Light" w:eastAsia="Times New Roman" w:hAnsi="Abadi Extra Light" w:cs="Calibri"/>
                <w:color w:val="000000"/>
                <w:sz w:val="20"/>
                <w:szCs w:val="20"/>
                <w:lang w:eastAsia="en-KE"/>
              </w:rPr>
              <w:t>They scrutinize the expenditure and revenue proposals of the Executive and decides whether to approve, reject, or amend them.</w:t>
            </w:r>
          </w:p>
          <w:p w14:paraId="6DD3278E" w14:textId="77777777" w:rsidR="00B351D3" w:rsidRPr="00B351D3" w:rsidRDefault="00B351D3" w:rsidP="00B351D3">
            <w:pPr>
              <w:numPr>
                <w:ilvl w:val="0"/>
                <w:numId w:val="28"/>
              </w:numPr>
              <w:suppressAutoHyphens w:val="0"/>
              <w:spacing w:after="200" w:line="288" w:lineRule="auto"/>
              <w:contextualSpacing/>
              <w:rPr>
                <w:rFonts w:ascii="Abadi Extra Light" w:eastAsia="Times New Roman" w:hAnsi="Abadi Extra Light" w:cs="Calibri"/>
                <w:color w:val="000000"/>
                <w:sz w:val="20"/>
                <w:szCs w:val="20"/>
                <w:lang w:eastAsia="en-KE"/>
              </w:rPr>
            </w:pPr>
            <w:r w:rsidRPr="00B351D3">
              <w:rPr>
                <w:rFonts w:ascii="Abadi Extra Light" w:eastAsia="Times New Roman" w:hAnsi="Abadi Extra Light" w:cs="Calibri"/>
                <w:color w:val="000000"/>
                <w:sz w:val="20"/>
                <w:szCs w:val="20"/>
                <w:lang w:eastAsia="en-KE"/>
              </w:rPr>
              <w:t>Scrutinize and approve audit reports.</w:t>
            </w:r>
          </w:p>
          <w:p w14:paraId="58A15C9C" w14:textId="77777777" w:rsidR="00B351D3" w:rsidRPr="00B351D3" w:rsidRDefault="00B351D3" w:rsidP="00B351D3">
            <w:pPr>
              <w:suppressAutoHyphens w:val="0"/>
              <w:rPr>
                <w:rFonts w:ascii="Abadi Extra Light" w:eastAsia="Times New Roman" w:hAnsi="Abadi Extra Light" w:cs="Calibri"/>
                <w:color w:val="000000"/>
                <w:sz w:val="20"/>
                <w:szCs w:val="20"/>
                <w:lang w:eastAsia="en-KE"/>
              </w:rPr>
            </w:pPr>
            <w:r w:rsidRPr="00B351D3">
              <w:rPr>
                <w:rFonts w:ascii="Franklin Gothic Demi" w:eastAsia="Times New Roman" w:hAnsi="Franklin Gothic Demi" w:cs="Calibri"/>
                <w:color w:val="000000"/>
                <w:sz w:val="20"/>
                <w:szCs w:val="20"/>
                <w:lang w:eastAsia="en-KE"/>
              </w:rPr>
              <w:t>Challenge:</w:t>
            </w:r>
            <w:r w:rsidRPr="00B351D3">
              <w:rPr>
                <w:rFonts w:ascii="Abadi Extra Light" w:eastAsia="Times New Roman" w:hAnsi="Abadi Extra Light" w:cs="Calibri"/>
                <w:color w:val="000000"/>
                <w:sz w:val="20"/>
                <w:szCs w:val="20"/>
                <w:lang w:eastAsia="en-KE"/>
              </w:rPr>
              <w:t xml:space="preserve"> Weak legislative capacity as well as limited understanding of PFM systems, PBB, MTEF etc.</w:t>
            </w:r>
          </w:p>
        </w:tc>
        <w:tc>
          <w:tcPr>
            <w:tcW w:w="4300" w:type="dxa"/>
            <w:shd w:val="clear" w:color="auto" w:fill="auto"/>
            <w:hideMark/>
          </w:tcPr>
          <w:p w14:paraId="416AA769" w14:textId="77777777" w:rsidR="00B351D3" w:rsidRPr="00B351D3" w:rsidRDefault="00B351D3" w:rsidP="00B351D3">
            <w:pPr>
              <w:suppressAutoHyphens w:val="0"/>
              <w:rPr>
                <w:rFonts w:ascii="Abadi Extra Light" w:eastAsia="Times New Roman" w:hAnsi="Abadi Extra Light" w:cs="Calibri"/>
                <w:color w:val="000000"/>
                <w:sz w:val="20"/>
                <w:szCs w:val="20"/>
                <w:lang w:val="en-KE" w:eastAsia="en-KE"/>
              </w:rPr>
            </w:pPr>
            <w:r w:rsidRPr="00B351D3">
              <w:rPr>
                <w:rFonts w:ascii="Abadi Extra Light" w:eastAsia="Times New Roman" w:hAnsi="Abadi Extra Light" w:cs="Calibri"/>
                <w:color w:val="000000"/>
                <w:sz w:val="20"/>
                <w:szCs w:val="20"/>
                <w:lang w:val="en-KE" w:eastAsia="en-KE"/>
              </w:rPr>
              <w:t>1. Need capacity building on:</w:t>
            </w:r>
            <w:r w:rsidRPr="00B351D3">
              <w:rPr>
                <w:rFonts w:ascii="Abadi Extra Light" w:eastAsia="Times New Roman" w:hAnsi="Abadi Extra Light" w:cs="Calibri"/>
                <w:color w:val="000000"/>
                <w:sz w:val="20"/>
                <w:szCs w:val="20"/>
                <w:lang w:val="en-KE" w:eastAsia="en-KE"/>
              </w:rPr>
              <w:br/>
              <w:t>a. PFM systems including expenditure rules and regulations, audit.</w:t>
            </w:r>
            <w:r w:rsidRPr="00B351D3">
              <w:rPr>
                <w:rFonts w:ascii="Abadi Extra Light" w:eastAsia="Times New Roman" w:hAnsi="Abadi Extra Light" w:cs="Calibri"/>
                <w:color w:val="000000"/>
                <w:sz w:val="20"/>
                <w:szCs w:val="20"/>
                <w:lang w:val="en-KE" w:eastAsia="en-KE"/>
              </w:rPr>
              <w:br/>
              <w:t>b. PBB and MTEF</w:t>
            </w:r>
            <w:r w:rsidRPr="00B351D3">
              <w:rPr>
                <w:rFonts w:ascii="Abadi Extra Light" w:eastAsia="Times New Roman" w:hAnsi="Abadi Extra Light" w:cs="Calibri"/>
                <w:color w:val="000000"/>
                <w:sz w:val="20"/>
                <w:szCs w:val="20"/>
                <w:lang w:val="en-KE" w:eastAsia="en-KE"/>
              </w:rPr>
              <w:br/>
              <w:t>2. Collaboration in expenditure monitoring at grassroot level.</w:t>
            </w:r>
          </w:p>
        </w:tc>
      </w:tr>
      <w:tr w:rsidR="00B351D3" w:rsidRPr="00B351D3" w14:paraId="1435733D" w14:textId="77777777" w:rsidTr="00373E9F">
        <w:trPr>
          <w:trHeight w:val="1120"/>
        </w:trPr>
        <w:tc>
          <w:tcPr>
            <w:tcW w:w="2580" w:type="dxa"/>
            <w:shd w:val="clear" w:color="auto" w:fill="auto"/>
            <w:noWrap/>
            <w:hideMark/>
          </w:tcPr>
          <w:p w14:paraId="6589F76A" w14:textId="77777777" w:rsidR="00B351D3" w:rsidRPr="00B351D3" w:rsidRDefault="00B351D3" w:rsidP="00B351D3">
            <w:pPr>
              <w:suppressAutoHyphens w:val="0"/>
              <w:rPr>
                <w:rFonts w:ascii="Franklin Gothic Book" w:eastAsia="Times New Roman" w:hAnsi="Franklin Gothic Book" w:cs="Calibri"/>
                <w:color w:val="000000"/>
                <w:sz w:val="20"/>
                <w:szCs w:val="20"/>
                <w:lang w:val="en-KE" w:eastAsia="en-KE"/>
              </w:rPr>
            </w:pPr>
            <w:r w:rsidRPr="00B351D3">
              <w:rPr>
                <w:rFonts w:ascii="Franklin Gothic Book" w:eastAsia="Times New Roman" w:hAnsi="Franklin Gothic Book" w:cs="Calibri"/>
                <w:color w:val="000000"/>
                <w:sz w:val="20"/>
                <w:szCs w:val="20"/>
                <w:lang w:val="en-KE" w:eastAsia="en-KE"/>
              </w:rPr>
              <w:t>ii) CSO/NGOs</w:t>
            </w:r>
          </w:p>
        </w:tc>
        <w:tc>
          <w:tcPr>
            <w:tcW w:w="7020" w:type="dxa"/>
            <w:shd w:val="clear" w:color="auto" w:fill="auto"/>
            <w:hideMark/>
          </w:tcPr>
          <w:p w14:paraId="2829CBD7" w14:textId="77777777" w:rsidR="00B351D3" w:rsidRDefault="00B351D3" w:rsidP="00B351D3">
            <w:pPr>
              <w:suppressAutoHyphens w:val="0"/>
              <w:rPr>
                <w:rFonts w:ascii="Franklin Gothic Demi" w:eastAsia="Times New Roman" w:hAnsi="Franklin Gothic Demi" w:cs="Calibri"/>
                <w:color w:val="000000"/>
                <w:sz w:val="20"/>
                <w:szCs w:val="20"/>
                <w:lang w:eastAsia="en-KE"/>
              </w:rPr>
            </w:pPr>
            <w:r w:rsidRPr="00B351D3">
              <w:rPr>
                <w:rFonts w:ascii="Abadi Extra Light" w:eastAsia="Times New Roman" w:hAnsi="Abadi Extra Light" w:cs="Calibri"/>
                <w:color w:val="000000"/>
                <w:sz w:val="20"/>
                <w:szCs w:val="20"/>
                <w:lang w:eastAsia="en-KE"/>
              </w:rPr>
              <w:t xml:space="preserve">a. Citizens and CSOs are allowed by law to hold the government accountable via personal meetings, public meetings, written statements, media, legal </w:t>
            </w:r>
            <w:proofErr w:type="gramStart"/>
            <w:r w:rsidRPr="00B351D3">
              <w:rPr>
                <w:rFonts w:ascii="Abadi Extra Light" w:eastAsia="Times New Roman" w:hAnsi="Abadi Extra Light" w:cs="Calibri"/>
                <w:color w:val="000000"/>
                <w:sz w:val="20"/>
                <w:szCs w:val="20"/>
                <w:lang w:eastAsia="en-KE"/>
              </w:rPr>
              <w:t>action</w:t>
            </w:r>
            <w:proofErr w:type="gramEnd"/>
            <w:r w:rsidRPr="00B351D3">
              <w:rPr>
                <w:rFonts w:ascii="Abadi Extra Light" w:eastAsia="Times New Roman" w:hAnsi="Abadi Extra Light" w:cs="Calibri"/>
                <w:color w:val="000000"/>
                <w:sz w:val="20"/>
                <w:szCs w:val="20"/>
                <w:lang w:eastAsia="en-KE"/>
              </w:rPr>
              <w:t xml:space="preserve"> and public demonstrations.</w:t>
            </w:r>
            <w:r w:rsidRPr="00B351D3">
              <w:rPr>
                <w:rFonts w:ascii="Abadi Extra Light" w:eastAsia="Times New Roman" w:hAnsi="Abadi Extra Light" w:cs="Calibri"/>
                <w:color w:val="000000"/>
                <w:sz w:val="20"/>
                <w:szCs w:val="20"/>
                <w:lang w:eastAsia="en-KE"/>
              </w:rPr>
              <w:br/>
              <w:t xml:space="preserve">b. Influence the budget by engaging the Executive or the legislature in analyzing budget proposals from the angle of grassroots needs, advocating for more transparency in budget processes, and taking part in local budget-setting processes. </w:t>
            </w:r>
            <w:r w:rsidRPr="00B351D3">
              <w:rPr>
                <w:rFonts w:ascii="Abadi Extra Light" w:eastAsia="Times New Roman" w:hAnsi="Abadi Extra Light" w:cs="Calibri"/>
                <w:color w:val="000000"/>
                <w:sz w:val="20"/>
                <w:szCs w:val="20"/>
                <w:lang w:eastAsia="en-KE"/>
              </w:rPr>
              <w:br/>
            </w:r>
          </w:p>
          <w:p w14:paraId="78E59697" w14:textId="1E0E5D9B" w:rsidR="00B351D3" w:rsidRPr="00B351D3" w:rsidRDefault="00B351D3" w:rsidP="00B351D3">
            <w:pPr>
              <w:suppressAutoHyphens w:val="0"/>
              <w:rPr>
                <w:rFonts w:ascii="Abadi Extra Light" w:eastAsia="Times New Roman" w:hAnsi="Abadi Extra Light" w:cs="Calibri"/>
                <w:color w:val="000000"/>
                <w:sz w:val="20"/>
                <w:szCs w:val="20"/>
                <w:lang w:eastAsia="en-KE"/>
              </w:rPr>
            </w:pPr>
            <w:r w:rsidRPr="00B351D3">
              <w:rPr>
                <w:rFonts w:ascii="Franklin Gothic Demi" w:eastAsia="Times New Roman" w:hAnsi="Franklin Gothic Demi" w:cs="Calibri"/>
                <w:color w:val="000000"/>
                <w:sz w:val="20"/>
                <w:szCs w:val="20"/>
                <w:lang w:eastAsia="en-KE"/>
              </w:rPr>
              <w:t>Challenge:</w:t>
            </w:r>
            <w:r w:rsidRPr="00B351D3">
              <w:rPr>
                <w:rFonts w:ascii="Abadi Extra Light" w:eastAsia="Times New Roman" w:hAnsi="Abadi Extra Light" w:cs="Calibri"/>
                <w:color w:val="000000"/>
                <w:sz w:val="20"/>
                <w:szCs w:val="20"/>
                <w:lang w:eastAsia="en-KE"/>
              </w:rPr>
              <w:t xml:space="preserve"> </w:t>
            </w:r>
            <w:r w:rsidRPr="00B351D3">
              <w:rPr>
                <w:rFonts w:ascii="Abadi Extra Light" w:eastAsia="Times New Roman" w:hAnsi="Abadi Extra Light" w:cs="Calibri"/>
                <w:color w:val="000000"/>
                <w:sz w:val="20"/>
                <w:szCs w:val="20"/>
                <w:lang w:eastAsia="en-KE"/>
              </w:rPr>
              <w:br/>
              <w:t>a. Weak capacity for participatory budgeting and interrogation of PFM systems.</w:t>
            </w:r>
            <w:r w:rsidRPr="00B351D3">
              <w:rPr>
                <w:rFonts w:ascii="Abadi Extra Light" w:eastAsia="Times New Roman" w:hAnsi="Abadi Extra Light" w:cs="Calibri"/>
                <w:color w:val="000000"/>
                <w:sz w:val="20"/>
                <w:szCs w:val="20"/>
                <w:lang w:eastAsia="en-KE"/>
              </w:rPr>
              <w:br/>
              <w:t>b. Limited time for budget interrogation</w:t>
            </w:r>
            <w:r w:rsidRPr="00B351D3">
              <w:rPr>
                <w:rFonts w:ascii="Abadi Extra Light" w:eastAsia="Times New Roman" w:hAnsi="Abadi Extra Light" w:cs="Calibri"/>
                <w:color w:val="000000"/>
                <w:sz w:val="20"/>
                <w:szCs w:val="20"/>
                <w:lang w:eastAsia="en-KE"/>
              </w:rPr>
              <w:br/>
              <w:t>c. Redundancies and duplication of CSO interventions hence weak capacity to enforce accountability within the health sector.</w:t>
            </w:r>
          </w:p>
        </w:tc>
        <w:tc>
          <w:tcPr>
            <w:tcW w:w="4300" w:type="dxa"/>
            <w:shd w:val="clear" w:color="auto" w:fill="auto"/>
            <w:hideMark/>
          </w:tcPr>
          <w:p w14:paraId="1ACF0D14" w14:textId="77777777" w:rsidR="00B351D3" w:rsidRPr="00B351D3" w:rsidRDefault="00B351D3" w:rsidP="00B351D3">
            <w:pPr>
              <w:suppressAutoHyphens w:val="0"/>
              <w:rPr>
                <w:rFonts w:ascii="Abadi Extra Light" w:eastAsia="Times New Roman" w:hAnsi="Abadi Extra Light" w:cs="Calibri"/>
                <w:color w:val="000000"/>
                <w:sz w:val="20"/>
                <w:szCs w:val="20"/>
                <w:lang w:val="en-KE" w:eastAsia="en-KE"/>
              </w:rPr>
            </w:pPr>
            <w:r w:rsidRPr="00B351D3">
              <w:rPr>
                <w:rFonts w:ascii="Abadi Extra Light" w:eastAsia="Times New Roman" w:hAnsi="Abadi Extra Light" w:cs="Calibri"/>
                <w:color w:val="000000"/>
                <w:sz w:val="20"/>
                <w:szCs w:val="20"/>
                <w:lang w:val="en-KE" w:eastAsia="en-KE"/>
              </w:rPr>
              <w:t>1. Need capacity building on:</w:t>
            </w:r>
            <w:r w:rsidRPr="00B351D3">
              <w:rPr>
                <w:rFonts w:ascii="Abadi Extra Light" w:eastAsia="Times New Roman" w:hAnsi="Abadi Extra Light" w:cs="Calibri"/>
                <w:color w:val="000000"/>
                <w:sz w:val="20"/>
                <w:szCs w:val="20"/>
                <w:lang w:val="en-KE" w:eastAsia="en-KE"/>
              </w:rPr>
              <w:br/>
              <w:t>a. PFM systems including expenditure rules and regulations, audit.</w:t>
            </w:r>
            <w:r w:rsidRPr="00B351D3">
              <w:rPr>
                <w:rFonts w:ascii="Abadi Extra Light" w:eastAsia="Times New Roman" w:hAnsi="Abadi Extra Light" w:cs="Calibri"/>
                <w:color w:val="000000"/>
                <w:sz w:val="20"/>
                <w:szCs w:val="20"/>
                <w:lang w:val="en-KE" w:eastAsia="en-KE"/>
              </w:rPr>
              <w:br/>
              <w:t>b. PBB and MTEF</w:t>
            </w:r>
            <w:r w:rsidRPr="00B351D3">
              <w:rPr>
                <w:rFonts w:ascii="Abadi Extra Light" w:eastAsia="Times New Roman" w:hAnsi="Abadi Extra Light" w:cs="Calibri"/>
                <w:color w:val="000000"/>
                <w:sz w:val="20"/>
                <w:szCs w:val="20"/>
                <w:lang w:val="en-KE" w:eastAsia="en-KE"/>
              </w:rPr>
              <w:br/>
              <w:t>2. Collaboration in expenditure monitoring at grassroot level.</w:t>
            </w:r>
            <w:r w:rsidRPr="00B351D3">
              <w:rPr>
                <w:rFonts w:ascii="Abadi Extra Light" w:eastAsia="Times New Roman" w:hAnsi="Abadi Extra Light" w:cs="Calibri"/>
                <w:color w:val="000000"/>
                <w:sz w:val="20"/>
                <w:szCs w:val="20"/>
                <w:lang w:val="en-KE" w:eastAsia="en-KE"/>
              </w:rPr>
              <w:br/>
              <w:t>3. Facilitate capacity development for other stakeholders and the public on PFM systems.</w:t>
            </w:r>
            <w:r w:rsidRPr="00B351D3">
              <w:rPr>
                <w:rFonts w:ascii="Abadi Extra Light" w:eastAsia="Times New Roman" w:hAnsi="Abadi Extra Light" w:cs="Calibri"/>
                <w:color w:val="000000"/>
                <w:sz w:val="20"/>
                <w:szCs w:val="20"/>
                <w:lang w:val="en-KE" w:eastAsia="en-KE"/>
              </w:rPr>
              <w:br/>
              <w:t>4. Advocacy for PFM reforms to allow adequate time for public participation.</w:t>
            </w:r>
            <w:r w:rsidRPr="00B351D3">
              <w:rPr>
                <w:rFonts w:ascii="Abadi Extra Light" w:eastAsia="Times New Roman" w:hAnsi="Abadi Extra Light" w:cs="Calibri"/>
                <w:color w:val="000000"/>
                <w:sz w:val="20"/>
                <w:szCs w:val="20"/>
                <w:lang w:val="en-KE" w:eastAsia="en-KE"/>
              </w:rPr>
              <w:br/>
              <w:t>5. Advocacy for stakeholder mapping within HIV/ KP and AGYW programs for effective engagement and accountability.</w:t>
            </w:r>
          </w:p>
        </w:tc>
      </w:tr>
      <w:tr w:rsidR="00B351D3" w:rsidRPr="00B351D3" w14:paraId="5BDED7B7" w14:textId="77777777" w:rsidTr="00373E9F">
        <w:trPr>
          <w:trHeight w:val="1120"/>
        </w:trPr>
        <w:tc>
          <w:tcPr>
            <w:tcW w:w="2580" w:type="dxa"/>
            <w:shd w:val="clear" w:color="auto" w:fill="auto"/>
            <w:noWrap/>
            <w:hideMark/>
          </w:tcPr>
          <w:p w14:paraId="61929CC3" w14:textId="77777777" w:rsidR="00B351D3" w:rsidRPr="00B351D3" w:rsidRDefault="00B351D3" w:rsidP="00B351D3">
            <w:pPr>
              <w:suppressAutoHyphens w:val="0"/>
              <w:rPr>
                <w:rFonts w:ascii="Franklin Gothic Book" w:eastAsia="Times New Roman" w:hAnsi="Franklin Gothic Book" w:cs="Calibri"/>
                <w:color w:val="000000"/>
                <w:sz w:val="20"/>
                <w:szCs w:val="20"/>
                <w:lang w:val="en-KE" w:eastAsia="en-KE"/>
              </w:rPr>
            </w:pPr>
            <w:r w:rsidRPr="00B351D3">
              <w:rPr>
                <w:rFonts w:ascii="Franklin Gothic Book" w:eastAsia="Times New Roman" w:hAnsi="Franklin Gothic Book" w:cs="Calibri"/>
                <w:color w:val="000000"/>
                <w:sz w:val="20"/>
                <w:szCs w:val="20"/>
                <w:lang w:val="en-KE" w:eastAsia="en-KE"/>
              </w:rPr>
              <w:t>iii) Development Partners</w:t>
            </w:r>
          </w:p>
        </w:tc>
        <w:tc>
          <w:tcPr>
            <w:tcW w:w="7020" w:type="dxa"/>
            <w:shd w:val="clear" w:color="auto" w:fill="auto"/>
            <w:hideMark/>
          </w:tcPr>
          <w:p w14:paraId="5094C81F" w14:textId="77777777" w:rsidR="00B351D3" w:rsidRPr="00B351D3" w:rsidRDefault="00B351D3" w:rsidP="00B351D3">
            <w:pPr>
              <w:suppressAutoHyphens w:val="0"/>
              <w:rPr>
                <w:rFonts w:ascii="Abadi Extra Light" w:eastAsia="Times New Roman" w:hAnsi="Abadi Extra Light" w:cs="Calibri"/>
                <w:color w:val="000000"/>
                <w:sz w:val="20"/>
                <w:szCs w:val="20"/>
                <w:lang w:eastAsia="en-KE"/>
              </w:rPr>
            </w:pPr>
            <w:r w:rsidRPr="00B351D3">
              <w:rPr>
                <w:rFonts w:ascii="Abadi Extra Light" w:eastAsia="Times New Roman" w:hAnsi="Abadi Extra Light" w:cs="Calibri"/>
                <w:color w:val="000000"/>
                <w:sz w:val="20"/>
                <w:szCs w:val="20"/>
                <w:lang w:eastAsia="en-KE"/>
              </w:rPr>
              <w:t>a. Key source of health financing for health in general and for KP and AGYW programs.</w:t>
            </w:r>
            <w:r w:rsidRPr="00B351D3">
              <w:rPr>
                <w:rFonts w:ascii="Abadi Extra Light" w:eastAsia="Times New Roman" w:hAnsi="Abadi Extra Light" w:cs="Calibri"/>
                <w:color w:val="000000"/>
                <w:sz w:val="20"/>
                <w:szCs w:val="20"/>
                <w:lang w:eastAsia="en-KE"/>
              </w:rPr>
              <w:br/>
            </w:r>
            <w:r w:rsidRPr="00B351D3">
              <w:rPr>
                <w:rFonts w:ascii="Abadi Extra Light" w:eastAsia="Times New Roman" w:hAnsi="Abadi Extra Light" w:cs="Calibri"/>
                <w:color w:val="000000"/>
                <w:sz w:val="20"/>
                <w:szCs w:val="20"/>
                <w:lang w:eastAsia="en-KE"/>
              </w:rPr>
              <w:br/>
            </w:r>
            <w:r w:rsidRPr="00B351D3">
              <w:rPr>
                <w:rFonts w:ascii="Franklin Gothic Demi" w:eastAsia="Times New Roman" w:hAnsi="Franklin Gothic Demi" w:cs="Calibri"/>
                <w:color w:val="000000"/>
                <w:sz w:val="20"/>
                <w:szCs w:val="20"/>
                <w:lang w:eastAsia="en-KE"/>
              </w:rPr>
              <w:t>Challenge:</w:t>
            </w:r>
            <w:r w:rsidRPr="00B351D3">
              <w:rPr>
                <w:rFonts w:ascii="Abadi Extra Light" w:eastAsia="Times New Roman" w:hAnsi="Abadi Extra Light" w:cs="Calibri"/>
                <w:color w:val="000000"/>
                <w:sz w:val="20"/>
                <w:szCs w:val="20"/>
                <w:lang w:eastAsia="en-KE"/>
              </w:rPr>
              <w:t xml:space="preserve"> High Off-Budget financing threatens accountability.</w:t>
            </w:r>
          </w:p>
        </w:tc>
        <w:tc>
          <w:tcPr>
            <w:tcW w:w="4300" w:type="dxa"/>
            <w:shd w:val="clear" w:color="auto" w:fill="auto"/>
            <w:hideMark/>
          </w:tcPr>
          <w:p w14:paraId="76CE1A96" w14:textId="77777777" w:rsidR="00B351D3" w:rsidRPr="00B351D3" w:rsidRDefault="00B351D3" w:rsidP="00B351D3">
            <w:pPr>
              <w:suppressAutoHyphens w:val="0"/>
              <w:rPr>
                <w:rFonts w:ascii="Abadi Extra Light" w:eastAsia="Times New Roman" w:hAnsi="Abadi Extra Light" w:cs="Calibri"/>
                <w:color w:val="000000"/>
                <w:sz w:val="20"/>
                <w:szCs w:val="20"/>
                <w:lang w:val="en-KE" w:eastAsia="en-KE"/>
              </w:rPr>
            </w:pPr>
            <w:r w:rsidRPr="00B351D3">
              <w:rPr>
                <w:rFonts w:ascii="Abadi Extra Light" w:eastAsia="Times New Roman" w:hAnsi="Abadi Extra Light" w:cs="Calibri"/>
                <w:color w:val="000000"/>
                <w:sz w:val="20"/>
                <w:szCs w:val="20"/>
                <w:lang w:val="en-KE" w:eastAsia="en-KE"/>
              </w:rPr>
              <w:t>1. Advocacy for increased on-budget financing of health by donors.</w:t>
            </w:r>
            <w:r w:rsidRPr="00B351D3">
              <w:rPr>
                <w:rFonts w:ascii="Abadi Extra Light" w:eastAsia="Times New Roman" w:hAnsi="Abadi Extra Light" w:cs="Calibri"/>
                <w:color w:val="000000"/>
                <w:sz w:val="20"/>
                <w:szCs w:val="20"/>
                <w:lang w:val="en-KE" w:eastAsia="en-KE"/>
              </w:rPr>
              <w:br/>
              <w:t>2. Build capacity among stakeholders on accountability for PFM systems</w:t>
            </w:r>
            <w:r w:rsidRPr="00B351D3">
              <w:rPr>
                <w:rFonts w:ascii="Abadi Extra Light" w:eastAsia="Times New Roman" w:hAnsi="Abadi Extra Light" w:cs="Calibri"/>
                <w:color w:val="000000"/>
                <w:sz w:val="20"/>
                <w:szCs w:val="20"/>
                <w:lang w:val="en-KE" w:eastAsia="en-KE"/>
              </w:rPr>
              <w:br/>
              <w:t>3. Incentivize and support budget transparency, public participation, and government accountability.</w:t>
            </w:r>
            <w:r w:rsidRPr="00B351D3">
              <w:rPr>
                <w:rFonts w:ascii="Abadi Extra Light" w:eastAsia="Times New Roman" w:hAnsi="Abadi Extra Light" w:cs="Calibri"/>
                <w:color w:val="000000"/>
                <w:sz w:val="20"/>
                <w:szCs w:val="20"/>
                <w:lang w:val="en-KE" w:eastAsia="en-KE"/>
              </w:rPr>
              <w:br/>
              <w:t xml:space="preserve">4. Provide technical assistance and funding to support accountability in PFM systems. </w:t>
            </w:r>
          </w:p>
        </w:tc>
      </w:tr>
      <w:tr w:rsidR="00B351D3" w:rsidRPr="00B351D3" w14:paraId="352FEAE8" w14:textId="77777777" w:rsidTr="00373E9F">
        <w:trPr>
          <w:trHeight w:val="1120"/>
        </w:trPr>
        <w:tc>
          <w:tcPr>
            <w:tcW w:w="2580" w:type="dxa"/>
            <w:shd w:val="clear" w:color="auto" w:fill="auto"/>
            <w:noWrap/>
            <w:hideMark/>
          </w:tcPr>
          <w:p w14:paraId="0F065EA0" w14:textId="77777777" w:rsidR="00B351D3" w:rsidRPr="00B351D3" w:rsidRDefault="00B351D3" w:rsidP="00B351D3">
            <w:pPr>
              <w:suppressAutoHyphens w:val="0"/>
              <w:rPr>
                <w:rFonts w:ascii="Franklin Gothic Book" w:eastAsia="Times New Roman" w:hAnsi="Franklin Gothic Book" w:cs="Calibri"/>
                <w:color w:val="000000"/>
                <w:sz w:val="20"/>
                <w:szCs w:val="20"/>
                <w:lang w:val="en-KE" w:eastAsia="en-KE"/>
              </w:rPr>
            </w:pPr>
            <w:r w:rsidRPr="00B351D3">
              <w:rPr>
                <w:rFonts w:ascii="Franklin Gothic Book" w:eastAsia="Times New Roman" w:hAnsi="Franklin Gothic Book" w:cs="Calibri"/>
                <w:color w:val="000000"/>
                <w:sz w:val="20"/>
                <w:szCs w:val="20"/>
                <w:lang w:val="en-KE" w:eastAsia="en-KE"/>
              </w:rPr>
              <w:t>iii) Individuals</w:t>
            </w:r>
          </w:p>
        </w:tc>
        <w:tc>
          <w:tcPr>
            <w:tcW w:w="7020" w:type="dxa"/>
            <w:shd w:val="clear" w:color="auto" w:fill="auto"/>
            <w:hideMark/>
          </w:tcPr>
          <w:p w14:paraId="5FBB0AB7" w14:textId="77777777" w:rsidR="00B351D3" w:rsidRDefault="00B351D3" w:rsidP="00B351D3">
            <w:pPr>
              <w:suppressAutoHyphens w:val="0"/>
              <w:rPr>
                <w:rFonts w:ascii="Franklin Gothic Demi" w:eastAsia="Times New Roman" w:hAnsi="Franklin Gothic Demi" w:cs="Calibri"/>
                <w:color w:val="000000"/>
                <w:sz w:val="20"/>
                <w:szCs w:val="20"/>
                <w:lang w:eastAsia="en-KE"/>
              </w:rPr>
            </w:pPr>
            <w:r w:rsidRPr="00B351D3">
              <w:rPr>
                <w:rFonts w:ascii="Abadi Extra Light" w:eastAsia="Times New Roman" w:hAnsi="Abadi Extra Light" w:cs="Calibri"/>
                <w:color w:val="000000"/>
                <w:sz w:val="20"/>
                <w:szCs w:val="20"/>
                <w:lang w:eastAsia="en-KE"/>
              </w:rPr>
              <w:t>a. The Constitution, 2010 and PFM Act 2012 embed public participation in public finance management and throughout the budgeting process.</w:t>
            </w:r>
            <w:r w:rsidRPr="00B351D3">
              <w:rPr>
                <w:rFonts w:ascii="Abadi Extra Light" w:eastAsia="Times New Roman" w:hAnsi="Abadi Extra Light" w:cs="Calibri"/>
                <w:color w:val="000000"/>
                <w:sz w:val="20"/>
                <w:szCs w:val="20"/>
                <w:lang w:eastAsia="en-KE"/>
              </w:rPr>
              <w:br/>
            </w:r>
          </w:p>
          <w:p w14:paraId="0268DD1F" w14:textId="6BF98D9F" w:rsidR="00B351D3" w:rsidRPr="00B351D3" w:rsidRDefault="00B351D3" w:rsidP="00B351D3">
            <w:pPr>
              <w:suppressAutoHyphens w:val="0"/>
              <w:rPr>
                <w:rFonts w:ascii="Abadi Extra Light" w:eastAsia="Times New Roman" w:hAnsi="Abadi Extra Light" w:cs="Calibri"/>
                <w:color w:val="000000"/>
                <w:sz w:val="20"/>
                <w:szCs w:val="20"/>
                <w:lang w:eastAsia="en-KE"/>
              </w:rPr>
            </w:pPr>
            <w:r w:rsidRPr="00B351D3">
              <w:rPr>
                <w:rFonts w:ascii="Franklin Gothic Demi" w:eastAsia="Times New Roman" w:hAnsi="Franklin Gothic Demi" w:cs="Calibri"/>
                <w:color w:val="000000"/>
                <w:sz w:val="20"/>
                <w:szCs w:val="20"/>
                <w:lang w:eastAsia="en-KE"/>
              </w:rPr>
              <w:t>Challenge:</w:t>
            </w:r>
            <w:r w:rsidRPr="00B351D3">
              <w:rPr>
                <w:rFonts w:ascii="Abadi Extra Light" w:eastAsia="Times New Roman" w:hAnsi="Abadi Extra Light" w:cs="Calibri"/>
                <w:color w:val="000000"/>
                <w:sz w:val="20"/>
                <w:szCs w:val="20"/>
                <w:lang w:eastAsia="en-KE"/>
              </w:rPr>
              <w:t xml:space="preserve"> Weak capacity for participatory budgeting and interrogation of PFM systems.</w:t>
            </w:r>
          </w:p>
        </w:tc>
        <w:tc>
          <w:tcPr>
            <w:tcW w:w="4300" w:type="dxa"/>
            <w:shd w:val="clear" w:color="auto" w:fill="auto"/>
            <w:hideMark/>
          </w:tcPr>
          <w:p w14:paraId="0BF79C32" w14:textId="77777777" w:rsidR="00B351D3" w:rsidRPr="00B351D3" w:rsidRDefault="00B351D3" w:rsidP="00B351D3">
            <w:pPr>
              <w:suppressAutoHyphens w:val="0"/>
              <w:rPr>
                <w:rFonts w:ascii="Abadi Extra Light" w:eastAsia="Times New Roman" w:hAnsi="Abadi Extra Light" w:cs="Calibri"/>
                <w:color w:val="000000"/>
                <w:sz w:val="20"/>
                <w:szCs w:val="20"/>
                <w:lang w:val="en-KE" w:eastAsia="en-KE"/>
              </w:rPr>
            </w:pPr>
            <w:r w:rsidRPr="00B351D3">
              <w:rPr>
                <w:rFonts w:ascii="Abadi Extra Light" w:eastAsia="Times New Roman" w:hAnsi="Abadi Extra Light" w:cs="Calibri"/>
                <w:color w:val="000000"/>
                <w:sz w:val="20"/>
                <w:szCs w:val="20"/>
                <w:lang w:val="en-KE" w:eastAsia="en-KE"/>
              </w:rPr>
              <w:t>Need capacity building on:</w:t>
            </w:r>
            <w:r w:rsidRPr="00B351D3">
              <w:rPr>
                <w:rFonts w:ascii="Abadi Extra Light" w:eastAsia="Times New Roman" w:hAnsi="Abadi Extra Light" w:cs="Calibri"/>
                <w:color w:val="000000"/>
                <w:sz w:val="20"/>
                <w:szCs w:val="20"/>
                <w:lang w:val="en-KE" w:eastAsia="en-KE"/>
              </w:rPr>
              <w:br/>
              <w:t>a. PFM systems including expenditure rules and regulations, audit.</w:t>
            </w:r>
            <w:r w:rsidRPr="00B351D3">
              <w:rPr>
                <w:rFonts w:ascii="Abadi Extra Light" w:eastAsia="Times New Roman" w:hAnsi="Abadi Extra Light" w:cs="Calibri"/>
                <w:color w:val="000000"/>
                <w:sz w:val="20"/>
                <w:szCs w:val="20"/>
                <w:lang w:val="en-KE" w:eastAsia="en-KE"/>
              </w:rPr>
              <w:br/>
              <w:t>b. PBB and MTEF</w:t>
            </w:r>
          </w:p>
        </w:tc>
      </w:tr>
      <w:tr w:rsidR="00B351D3" w:rsidRPr="00B351D3" w14:paraId="7C2D9765" w14:textId="77777777" w:rsidTr="00373E9F">
        <w:trPr>
          <w:trHeight w:val="1120"/>
        </w:trPr>
        <w:tc>
          <w:tcPr>
            <w:tcW w:w="2580" w:type="dxa"/>
            <w:shd w:val="clear" w:color="auto" w:fill="auto"/>
            <w:noWrap/>
            <w:hideMark/>
          </w:tcPr>
          <w:p w14:paraId="0A538E5B" w14:textId="77777777" w:rsidR="00B351D3" w:rsidRPr="00B351D3" w:rsidRDefault="00B351D3" w:rsidP="00B351D3">
            <w:pPr>
              <w:suppressAutoHyphens w:val="0"/>
              <w:rPr>
                <w:rFonts w:ascii="Franklin Gothic Book" w:eastAsia="Times New Roman" w:hAnsi="Franklin Gothic Book" w:cs="Calibri"/>
                <w:color w:val="000000"/>
                <w:sz w:val="20"/>
                <w:szCs w:val="20"/>
                <w:lang w:val="en-KE" w:eastAsia="en-KE"/>
              </w:rPr>
            </w:pPr>
            <w:r w:rsidRPr="00B351D3">
              <w:rPr>
                <w:rFonts w:ascii="Franklin Gothic Book" w:eastAsia="Times New Roman" w:hAnsi="Franklin Gothic Book" w:cs="Calibri"/>
                <w:color w:val="000000"/>
                <w:sz w:val="20"/>
                <w:szCs w:val="20"/>
                <w:lang w:val="en-KE" w:eastAsia="en-KE"/>
              </w:rPr>
              <w:lastRenderedPageBreak/>
              <w:t>iv) Media</w:t>
            </w:r>
          </w:p>
        </w:tc>
        <w:tc>
          <w:tcPr>
            <w:tcW w:w="7020" w:type="dxa"/>
            <w:shd w:val="clear" w:color="auto" w:fill="auto"/>
            <w:hideMark/>
          </w:tcPr>
          <w:p w14:paraId="210B65A5" w14:textId="77777777" w:rsidR="00B351D3" w:rsidRDefault="00B351D3" w:rsidP="00B351D3">
            <w:pPr>
              <w:suppressAutoHyphens w:val="0"/>
              <w:rPr>
                <w:rFonts w:ascii="Franklin Gothic Demi" w:eastAsia="Times New Roman" w:hAnsi="Franklin Gothic Demi" w:cs="Calibri"/>
                <w:color w:val="000000"/>
                <w:sz w:val="20"/>
                <w:szCs w:val="20"/>
                <w:lang w:eastAsia="en-KE"/>
              </w:rPr>
            </w:pPr>
            <w:r w:rsidRPr="00B351D3">
              <w:rPr>
                <w:rFonts w:ascii="Abadi Extra Light" w:eastAsia="Times New Roman" w:hAnsi="Abadi Extra Light" w:cs="Calibri"/>
                <w:color w:val="000000"/>
                <w:sz w:val="20"/>
                <w:szCs w:val="20"/>
                <w:lang w:eastAsia="en-KE"/>
              </w:rPr>
              <w:t xml:space="preserve">a. Keep the public and other stakeholders informed and hold the government accountable by reporting on any differences between what is promised in the budget and what is delivered. </w:t>
            </w:r>
            <w:r w:rsidRPr="00B351D3">
              <w:rPr>
                <w:rFonts w:ascii="Abadi Extra Light" w:eastAsia="Times New Roman" w:hAnsi="Abadi Extra Light" w:cs="Calibri"/>
                <w:color w:val="000000"/>
                <w:sz w:val="20"/>
                <w:szCs w:val="20"/>
                <w:lang w:eastAsia="en-KE"/>
              </w:rPr>
              <w:br/>
            </w:r>
          </w:p>
          <w:p w14:paraId="4288F99C" w14:textId="0EEFD001" w:rsidR="00B351D3" w:rsidRPr="00B351D3" w:rsidRDefault="00B351D3" w:rsidP="00B351D3">
            <w:pPr>
              <w:suppressAutoHyphens w:val="0"/>
              <w:rPr>
                <w:rFonts w:ascii="Abadi Extra Light" w:eastAsia="Times New Roman" w:hAnsi="Abadi Extra Light" w:cs="Calibri"/>
                <w:color w:val="000000"/>
                <w:sz w:val="20"/>
                <w:szCs w:val="20"/>
                <w:lang w:eastAsia="en-KE"/>
              </w:rPr>
            </w:pPr>
            <w:r w:rsidRPr="00B351D3">
              <w:rPr>
                <w:rFonts w:ascii="Franklin Gothic Demi" w:eastAsia="Times New Roman" w:hAnsi="Franklin Gothic Demi" w:cs="Calibri"/>
                <w:color w:val="000000"/>
                <w:sz w:val="20"/>
                <w:szCs w:val="20"/>
                <w:lang w:eastAsia="en-KE"/>
              </w:rPr>
              <w:t>Challenge:</w:t>
            </w:r>
            <w:r w:rsidRPr="00B351D3">
              <w:rPr>
                <w:rFonts w:ascii="Abadi Extra Light" w:eastAsia="Times New Roman" w:hAnsi="Abadi Extra Light" w:cs="Calibri"/>
                <w:color w:val="000000"/>
                <w:sz w:val="20"/>
                <w:szCs w:val="20"/>
                <w:lang w:eastAsia="en-KE"/>
              </w:rPr>
              <w:t xml:space="preserve"> </w:t>
            </w:r>
            <w:r w:rsidRPr="00B351D3">
              <w:rPr>
                <w:rFonts w:ascii="Abadi Extra Light" w:eastAsia="Times New Roman" w:hAnsi="Abadi Extra Light" w:cs="Calibri"/>
                <w:color w:val="000000"/>
                <w:sz w:val="20"/>
                <w:szCs w:val="20"/>
                <w:lang w:eastAsia="en-KE"/>
              </w:rPr>
              <w:br/>
              <w:t>a. Weak capacity and limited understanding of PFM systems, PBB, MTEF etc.</w:t>
            </w:r>
            <w:r w:rsidRPr="00B351D3">
              <w:rPr>
                <w:rFonts w:ascii="Abadi Extra Light" w:eastAsia="Times New Roman" w:hAnsi="Abadi Extra Light" w:cs="Calibri"/>
                <w:color w:val="000000"/>
                <w:sz w:val="20"/>
                <w:szCs w:val="20"/>
                <w:lang w:eastAsia="en-KE"/>
              </w:rPr>
              <w:br/>
              <w:t xml:space="preserve">b. Political influence and bias threatens their integrity and independence. </w:t>
            </w:r>
          </w:p>
        </w:tc>
        <w:tc>
          <w:tcPr>
            <w:tcW w:w="4300" w:type="dxa"/>
            <w:shd w:val="clear" w:color="auto" w:fill="auto"/>
            <w:hideMark/>
          </w:tcPr>
          <w:p w14:paraId="1BDCAEE0" w14:textId="77777777" w:rsidR="00B351D3" w:rsidRPr="00B351D3" w:rsidRDefault="00B351D3" w:rsidP="00B351D3">
            <w:pPr>
              <w:suppressAutoHyphens w:val="0"/>
              <w:rPr>
                <w:rFonts w:ascii="Abadi Extra Light" w:eastAsia="Times New Roman" w:hAnsi="Abadi Extra Light" w:cs="Calibri"/>
                <w:color w:val="000000"/>
                <w:sz w:val="20"/>
                <w:szCs w:val="20"/>
                <w:lang w:val="en-KE" w:eastAsia="en-KE"/>
              </w:rPr>
            </w:pPr>
            <w:r w:rsidRPr="00B351D3">
              <w:rPr>
                <w:rFonts w:ascii="Abadi Extra Light" w:eastAsia="Times New Roman" w:hAnsi="Abadi Extra Light" w:cs="Calibri"/>
                <w:color w:val="000000"/>
                <w:sz w:val="20"/>
                <w:szCs w:val="20"/>
                <w:lang w:val="en-KE" w:eastAsia="en-KE"/>
              </w:rPr>
              <w:t>1. Need capacity building on:</w:t>
            </w:r>
            <w:r w:rsidRPr="00B351D3">
              <w:rPr>
                <w:rFonts w:ascii="Abadi Extra Light" w:eastAsia="Times New Roman" w:hAnsi="Abadi Extra Light" w:cs="Calibri"/>
                <w:color w:val="000000"/>
                <w:sz w:val="20"/>
                <w:szCs w:val="20"/>
                <w:lang w:val="en-KE" w:eastAsia="en-KE"/>
              </w:rPr>
              <w:br/>
              <w:t>a. PFM systems including expenditure rules and regulations, audit.</w:t>
            </w:r>
            <w:r w:rsidRPr="00B351D3">
              <w:rPr>
                <w:rFonts w:ascii="Abadi Extra Light" w:eastAsia="Times New Roman" w:hAnsi="Abadi Extra Light" w:cs="Calibri"/>
                <w:color w:val="000000"/>
                <w:sz w:val="20"/>
                <w:szCs w:val="20"/>
                <w:lang w:val="en-KE" w:eastAsia="en-KE"/>
              </w:rPr>
              <w:br/>
              <w:t>b. PBB and MTEF</w:t>
            </w:r>
            <w:r w:rsidRPr="00B351D3">
              <w:rPr>
                <w:rFonts w:ascii="Abadi Extra Light" w:eastAsia="Times New Roman" w:hAnsi="Abadi Extra Light" w:cs="Calibri"/>
                <w:color w:val="000000"/>
                <w:sz w:val="20"/>
                <w:szCs w:val="20"/>
                <w:lang w:val="en-KE" w:eastAsia="en-KE"/>
              </w:rPr>
              <w:br/>
              <w:t>2. Collaboration in expenditure monitoring at grassroot level.</w:t>
            </w:r>
            <w:r w:rsidRPr="00B351D3">
              <w:rPr>
                <w:rFonts w:ascii="Abadi Extra Light" w:eastAsia="Times New Roman" w:hAnsi="Abadi Extra Light" w:cs="Calibri"/>
                <w:color w:val="000000"/>
                <w:sz w:val="20"/>
                <w:szCs w:val="20"/>
                <w:lang w:val="en-KE" w:eastAsia="en-KE"/>
              </w:rPr>
              <w:br/>
              <w:t>3. Facilitate capacity development for other stakeholders and the public on PFM systems and accountability.</w:t>
            </w:r>
            <w:r w:rsidRPr="00B351D3">
              <w:rPr>
                <w:rFonts w:ascii="Abadi Extra Light" w:eastAsia="Times New Roman" w:hAnsi="Abadi Extra Light" w:cs="Calibri"/>
                <w:color w:val="000000"/>
                <w:sz w:val="20"/>
                <w:szCs w:val="20"/>
                <w:lang w:val="en-KE" w:eastAsia="en-KE"/>
              </w:rPr>
              <w:br/>
              <w:t>4. Advocacy for media independence for accountability.</w:t>
            </w:r>
          </w:p>
        </w:tc>
      </w:tr>
      <w:tr w:rsidR="00B351D3" w:rsidRPr="00B351D3" w14:paraId="72AE8C74" w14:textId="77777777" w:rsidTr="00B351D3">
        <w:trPr>
          <w:trHeight w:val="300"/>
        </w:trPr>
        <w:tc>
          <w:tcPr>
            <w:tcW w:w="13900" w:type="dxa"/>
            <w:gridSpan w:val="3"/>
            <w:shd w:val="clear" w:color="auto" w:fill="8ACC8E"/>
            <w:noWrap/>
            <w:hideMark/>
          </w:tcPr>
          <w:p w14:paraId="7C15FD97" w14:textId="77777777" w:rsidR="00B351D3" w:rsidRPr="00B351D3" w:rsidRDefault="00B351D3" w:rsidP="00B351D3">
            <w:pPr>
              <w:suppressAutoHyphens w:val="0"/>
              <w:rPr>
                <w:rFonts w:ascii="Franklin Gothic Demi" w:eastAsia="Times New Roman" w:hAnsi="Franklin Gothic Demi" w:cs="Calibri"/>
                <w:color w:val="000000"/>
                <w:sz w:val="22"/>
                <w:szCs w:val="22"/>
                <w:lang w:val="en-KE" w:eastAsia="en-KE"/>
              </w:rPr>
            </w:pPr>
            <w:r w:rsidRPr="00B351D3">
              <w:rPr>
                <w:rFonts w:ascii="Franklin Gothic Demi" w:eastAsia="Times New Roman" w:hAnsi="Franklin Gothic Demi" w:cs="Calibri"/>
                <w:color w:val="000000"/>
                <w:sz w:val="22"/>
                <w:szCs w:val="22"/>
                <w:lang w:val="en-KE" w:eastAsia="en-KE"/>
              </w:rPr>
              <w:t>c) Innovations</w:t>
            </w:r>
          </w:p>
        </w:tc>
      </w:tr>
      <w:tr w:rsidR="00B351D3" w:rsidRPr="00B351D3" w14:paraId="716CB3D8" w14:textId="77777777" w:rsidTr="00373E9F">
        <w:trPr>
          <w:trHeight w:val="2420"/>
        </w:trPr>
        <w:tc>
          <w:tcPr>
            <w:tcW w:w="2580" w:type="dxa"/>
            <w:shd w:val="clear" w:color="auto" w:fill="auto"/>
            <w:noWrap/>
            <w:hideMark/>
          </w:tcPr>
          <w:p w14:paraId="2D4F2F0F" w14:textId="77777777" w:rsidR="00B351D3" w:rsidRPr="00B351D3" w:rsidRDefault="00B351D3" w:rsidP="00B351D3">
            <w:pPr>
              <w:suppressAutoHyphens w:val="0"/>
              <w:rPr>
                <w:rFonts w:ascii="Franklin Gothic Book" w:eastAsia="Times New Roman" w:hAnsi="Franklin Gothic Book" w:cs="Calibri"/>
                <w:color w:val="000000"/>
                <w:sz w:val="20"/>
                <w:szCs w:val="20"/>
                <w:lang w:val="en-KE" w:eastAsia="en-KE"/>
              </w:rPr>
            </w:pPr>
            <w:r w:rsidRPr="00B351D3">
              <w:rPr>
                <w:rFonts w:ascii="Franklin Gothic Book" w:eastAsia="Times New Roman" w:hAnsi="Franklin Gothic Book" w:cs="Calibri"/>
                <w:color w:val="000000"/>
                <w:sz w:val="20"/>
                <w:szCs w:val="20"/>
                <w:lang w:val="en-KE" w:eastAsia="en-KE"/>
              </w:rPr>
              <w:t>IFMIS</w:t>
            </w:r>
          </w:p>
        </w:tc>
        <w:tc>
          <w:tcPr>
            <w:tcW w:w="7020" w:type="dxa"/>
            <w:shd w:val="clear" w:color="auto" w:fill="auto"/>
            <w:hideMark/>
          </w:tcPr>
          <w:p w14:paraId="28CA87F6" w14:textId="77777777" w:rsidR="00B351D3" w:rsidRDefault="00B351D3" w:rsidP="00B351D3">
            <w:pPr>
              <w:suppressAutoHyphens w:val="0"/>
              <w:rPr>
                <w:rFonts w:ascii="Franklin Gothic Demi" w:eastAsia="Times New Roman" w:hAnsi="Franklin Gothic Demi" w:cs="Calibri"/>
                <w:color w:val="000000"/>
                <w:sz w:val="20"/>
                <w:szCs w:val="20"/>
                <w:lang w:val="en-KE" w:eastAsia="en-KE"/>
              </w:rPr>
            </w:pPr>
            <w:r w:rsidRPr="00B351D3">
              <w:rPr>
                <w:rFonts w:ascii="Abadi Extra Light" w:eastAsia="Times New Roman" w:hAnsi="Abadi Extra Light" w:cs="Calibri"/>
                <w:color w:val="000000"/>
                <w:sz w:val="20"/>
                <w:szCs w:val="20"/>
                <w:lang w:val="en-KE" w:eastAsia="en-KE"/>
              </w:rPr>
              <w:t>a. Automation of the Public Finance Management processes</w:t>
            </w:r>
            <w:r w:rsidRPr="00B351D3">
              <w:rPr>
                <w:rFonts w:ascii="Abadi Extra Light" w:eastAsia="Times New Roman" w:hAnsi="Abadi Extra Light" w:cs="Calibri"/>
                <w:color w:val="000000"/>
                <w:sz w:val="20"/>
                <w:szCs w:val="20"/>
                <w:lang w:val="en-KE" w:eastAsia="en-KE"/>
              </w:rPr>
              <w:br/>
            </w:r>
          </w:p>
          <w:p w14:paraId="51CD2219" w14:textId="2A8E1BBA" w:rsidR="00B351D3" w:rsidRPr="00B351D3" w:rsidRDefault="00B351D3" w:rsidP="00B351D3">
            <w:pPr>
              <w:suppressAutoHyphens w:val="0"/>
              <w:rPr>
                <w:rFonts w:ascii="Abadi Extra Light" w:eastAsia="Times New Roman" w:hAnsi="Abadi Extra Light" w:cs="Calibri"/>
                <w:color w:val="000000"/>
                <w:sz w:val="20"/>
                <w:szCs w:val="20"/>
                <w:lang w:val="en-KE" w:eastAsia="en-KE"/>
              </w:rPr>
            </w:pPr>
            <w:r w:rsidRPr="00B351D3">
              <w:rPr>
                <w:rFonts w:ascii="Franklin Gothic Demi" w:eastAsia="Times New Roman" w:hAnsi="Franklin Gothic Demi" w:cs="Calibri"/>
                <w:color w:val="000000"/>
                <w:sz w:val="20"/>
                <w:szCs w:val="20"/>
                <w:lang w:val="en-KE" w:eastAsia="en-KE"/>
              </w:rPr>
              <w:t xml:space="preserve">Challenge: </w:t>
            </w:r>
            <w:r w:rsidRPr="00B351D3">
              <w:rPr>
                <w:rFonts w:ascii="Abadi Extra Light" w:eastAsia="Times New Roman" w:hAnsi="Abadi Extra Light" w:cs="Calibri"/>
                <w:color w:val="000000"/>
                <w:sz w:val="20"/>
                <w:szCs w:val="20"/>
                <w:lang w:val="en-KE" w:eastAsia="en-KE"/>
              </w:rPr>
              <w:br/>
              <w:t>a. Weak implementation capacity at user level.</w:t>
            </w:r>
            <w:r w:rsidRPr="00B351D3">
              <w:rPr>
                <w:rFonts w:ascii="Abadi Extra Light" w:eastAsia="Times New Roman" w:hAnsi="Abadi Extra Light" w:cs="Calibri"/>
                <w:color w:val="000000"/>
                <w:sz w:val="20"/>
                <w:szCs w:val="20"/>
                <w:lang w:val="en-KE" w:eastAsia="en-KE"/>
              </w:rPr>
              <w:br/>
              <w:t>b. Lack of goodwill from leaders at user departments.</w:t>
            </w:r>
            <w:r w:rsidRPr="00B351D3">
              <w:rPr>
                <w:rFonts w:ascii="Abadi Extra Light" w:eastAsia="Times New Roman" w:hAnsi="Abadi Extra Light" w:cs="Calibri"/>
                <w:color w:val="000000"/>
                <w:sz w:val="20"/>
                <w:szCs w:val="20"/>
                <w:lang w:val="en-KE" w:eastAsia="en-KE"/>
              </w:rPr>
              <w:br/>
              <w:t>c. System manipulation</w:t>
            </w:r>
            <w:r w:rsidRPr="00B351D3">
              <w:rPr>
                <w:rFonts w:ascii="Abadi Extra Light" w:eastAsia="Times New Roman" w:hAnsi="Abadi Extra Light" w:cs="Calibri"/>
                <w:color w:val="000000"/>
                <w:sz w:val="20"/>
                <w:szCs w:val="20"/>
                <w:lang w:val="en-KE" w:eastAsia="en-KE"/>
              </w:rPr>
              <w:br/>
              <w:t xml:space="preserve">d. Expenditure management loopholes </w:t>
            </w:r>
            <w:proofErr w:type="gramStart"/>
            <w:r w:rsidRPr="00B351D3">
              <w:rPr>
                <w:rFonts w:ascii="Abadi Extra Light" w:eastAsia="Times New Roman" w:hAnsi="Abadi Extra Light" w:cs="Calibri"/>
                <w:color w:val="000000"/>
                <w:sz w:val="20"/>
                <w:szCs w:val="20"/>
                <w:lang w:val="en-KE" w:eastAsia="en-KE"/>
              </w:rPr>
              <w:t>e.g.</w:t>
            </w:r>
            <w:proofErr w:type="gramEnd"/>
            <w:r w:rsidRPr="00B351D3">
              <w:rPr>
                <w:rFonts w:ascii="Abadi Extra Light" w:eastAsia="Times New Roman" w:hAnsi="Abadi Extra Light" w:cs="Calibri"/>
                <w:color w:val="000000"/>
                <w:sz w:val="20"/>
                <w:szCs w:val="20"/>
                <w:lang w:val="en-KE" w:eastAsia="en-KE"/>
              </w:rPr>
              <w:t xml:space="preserve"> locally generated revenues at agency, department and county levels. </w:t>
            </w:r>
            <w:r w:rsidRPr="00B351D3">
              <w:rPr>
                <w:rFonts w:ascii="Abadi Extra Light" w:eastAsia="Times New Roman" w:hAnsi="Abadi Extra Light" w:cs="Calibri"/>
                <w:color w:val="000000"/>
                <w:sz w:val="20"/>
                <w:szCs w:val="20"/>
                <w:lang w:val="en-KE" w:eastAsia="en-KE"/>
              </w:rPr>
              <w:br/>
              <w:t>e. Poor funding</w:t>
            </w:r>
          </w:p>
        </w:tc>
        <w:tc>
          <w:tcPr>
            <w:tcW w:w="4300" w:type="dxa"/>
            <w:shd w:val="clear" w:color="auto" w:fill="auto"/>
            <w:hideMark/>
          </w:tcPr>
          <w:p w14:paraId="45A1F625" w14:textId="77777777" w:rsidR="00B351D3" w:rsidRPr="00B351D3" w:rsidRDefault="00B351D3" w:rsidP="00B351D3">
            <w:pPr>
              <w:suppressAutoHyphens w:val="0"/>
              <w:rPr>
                <w:rFonts w:ascii="Abadi Extra Light" w:eastAsia="Times New Roman" w:hAnsi="Abadi Extra Light" w:cs="Calibri"/>
                <w:color w:val="000000"/>
                <w:sz w:val="20"/>
                <w:szCs w:val="20"/>
                <w:lang w:val="en-KE" w:eastAsia="en-KE"/>
              </w:rPr>
            </w:pPr>
            <w:r w:rsidRPr="00B351D3">
              <w:rPr>
                <w:rFonts w:ascii="Abadi Extra Light" w:eastAsia="Times New Roman" w:hAnsi="Abadi Extra Light" w:cs="Calibri"/>
                <w:color w:val="000000"/>
                <w:sz w:val="20"/>
                <w:szCs w:val="20"/>
                <w:lang w:val="en-KE" w:eastAsia="en-KE"/>
              </w:rPr>
              <w:t>1. Need for capacity building on use of IFMIS at all levels.</w:t>
            </w:r>
            <w:r w:rsidRPr="00B351D3">
              <w:rPr>
                <w:rFonts w:ascii="Abadi Extra Light" w:eastAsia="Times New Roman" w:hAnsi="Abadi Extra Light" w:cs="Calibri"/>
                <w:color w:val="000000"/>
                <w:sz w:val="20"/>
                <w:szCs w:val="20"/>
                <w:lang w:val="en-KE" w:eastAsia="en-KE"/>
              </w:rPr>
              <w:br/>
              <w:t>2. Need for regular system improvements to limit manipulation and ensure integration at requisite levels.</w:t>
            </w:r>
            <w:r w:rsidRPr="00B351D3">
              <w:rPr>
                <w:rFonts w:ascii="Abadi Extra Light" w:eastAsia="Times New Roman" w:hAnsi="Abadi Extra Light" w:cs="Calibri"/>
                <w:color w:val="000000"/>
                <w:sz w:val="20"/>
                <w:szCs w:val="20"/>
                <w:lang w:val="en-KE" w:eastAsia="en-KE"/>
              </w:rPr>
              <w:br/>
              <w:t>3. Need to incentivise implementation of IFMIS at user level.</w:t>
            </w:r>
          </w:p>
        </w:tc>
      </w:tr>
    </w:tbl>
    <w:p w14:paraId="47E2DA73" w14:textId="77777777" w:rsidR="00086021" w:rsidRDefault="00086021"/>
    <w:p w14:paraId="64E34EE2" w14:textId="77777777" w:rsidR="00086021" w:rsidRDefault="00086021"/>
    <w:p w14:paraId="7F561D86" w14:textId="6B7145CE" w:rsidR="00086021" w:rsidRDefault="00FE3CFF">
      <w:r w:rsidRPr="00B351D3">
        <w:rPr>
          <w:rFonts w:ascii="Abadi Extra Light" w:eastAsia="Abadi Extra Light" w:hAnsi="Abadi Extra Light" w:cs="Abadi Extra Light"/>
          <w:noProof/>
          <w:color w:val="auto"/>
          <w:sz w:val="21"/>
          <w:szCs w:val="21"/>
        </w:rPr>
        <mc:AlternateContent>
          <mc:Choice Requires="wps">
            <w:drawing>
              <wp:anchor distT="0" distB="0" distL="114300" distR="114300" simplePos="0" relativeHeight="251666432" behindDoc="0" locked="0" layoutInCell="1" allowOverlap="1" wp14:anchorId="70D8CB5F" wp14:editId="738FE64B">
                <wp:simplePos x="0" y="0"/>
                <wp:positionH relativeFrom="margin">
                  <wp:align>left</wp:align>
                </wp:positionH>
                <wp:positionV relativeFrom="paragraph">
                  <wp:posOffset>132080</wp:posOffset>
                </wp:positionV>
                <wp:extent cx="8858250" cy="787400"/>
                <wp:effectExtent l="0" t="0" r="0" b="0"/>
                <wp:wrapNone/>
                <wp:docPr id="98" name="Text Box 98"/>
                <wp:cNvGraphicFramePr/>
                <a:graphic xmlns:a="http://schemas.openxmlformats.org/drawingml/2006/main">
                  <a:graphicData uri="http://schemas.microsoft.com/office/word/2010/wordprocessingShape">
                    <wps:wsp>
                      <wps:cNvSpPr txBox="1"/>
                      <wps:spPr>
                        <a:xfrm>
                          <a:off x="0" y="0"/>
                          <a:ext cx="8858250" cy="787400"/>
                        </a:xfrm>
                        <a:prstGeom prst="rect">
                          <a:avLst/>
                        </a:prstGeom>
                        <a:solidFill>
                          <a:srgbClr val="C9211E">
                            <a:alpha val="15000"/>
                          </a:srgbClr>
                        </a:solidFill>
                        <a:ln>
                          <a:noFill/>
                        </a:ln>
                      </wps:spPr>
                      <wps:style>
                        <a:lnRef idx="0">
                          <a:scrgbClr r="0" g="0" b="0"/>
                        </a:lnRef>
                        <a:fillRef idx="0">
                          <a:scrgbClr r="0" g="0" b="0"/>
                        </a:fillRef>
                        <a:effectRef idx="0">
                          <a:scrgbClr r="0" g="0" b="0"/>
                        </a:effectRef>
                        <a:fontRef idx="minor"/>
                      </wps:style>
                      <wps:txbx>
                        <w:txbxContent>
                          <w:p w14:paraId="0020A42A" w14:textId="77777777" w:rsidR="00B351D3" w:rsidRPr="00FE3CFF" w:rsidRDefault="00B351D3" w:rsidP="00B351D3">
                            <w:pPr>
                              <w:jc w:val="center"/>
                              <w:rPr>
                                <w:rFonts w:cs="Arial"/>
                                <w:b/>
                                <w:bCs/>
                                <w:color w:val="595959" w:themeColor="text1" w:themeTint="A6"/>
                                <w:sz w:val="22"/>
                                <w:szCs w:val="32"/>
                              </w:rPr>
                            </w:pPr>
                            <w:r w:rsidRPr="00FE3CFF">
                              <w:rPr>
                                <w:rFonts w:cs="Arial"/>
                                <w:b/>
                                <w:bCs/>
                                <w:color w:val="595959" w:themeColor="text1" w:themeTint="A6"/>
                                <w:sz w:val="22"/>
                                <w:szCs w:val="32"/>
                              </w:rPr>
                              <w:t xml:space="preserve">Advocacy Opportunity for Synergy in the Accountability Systems </w:t>
                            </w:r>
                          </w:p>
                          <w:p w14:paraId="7F469EB8" w14:textId="77777777" w:rsidR="00B351D3" w:rsidRPr="00FE3CFF" w:rsidRDefault="00B351D3" w:rsidP="00B351D3">
                            <w:pPr>
                              <w:jc w:val="both"/>
                              <w:rPr>
                                <w:rFonts w:cs="Arial"/>
                                <w:sz w:val="20"/>
                                <w:szCs w:val="28"/>
                              </w:rPr>
                            </w:pPr>
                            <w:r w:rsidRPr="00FE3CFF">
                              <w:rPr>
                                <w:rFonts w:eastAsia="Abadi Extra Light" w:cs="Arial"/>
                                <w:sz w:val="20"/>
                                <w:szCs w:val="28"/>
                              </w:rPr>
                              <w:t xml:space="preserve">Effective accountability of health financing systems and the budgeting process requires a conducive social, </w:t>
                            </w:r>
                            <w:proofErr w:type="gramStart"/>
                            <w:r w:rsidRPr="00FE3CFF">
                              <w:rPr>
                                <w:rFonts w:eastAsia="Abadi Extra Light" w:cs="Arial"/>
                                <w:sz w:val="20"/>
                                <w:szCs w:val="28"/>
                              </w:rPr>
                              <w:t>legal</w:t>
                            </w:r>
                            <w:proofErr w:type="gramEnd"/>
                            <w:r w:rsidRPr="00FE3CFF">
                              <w:rPr>
                                <w:rFonts w:eastAsia="Abadi Extra Light" w:cs="Arial"/>
                                <w:sz w:val="20"/>
                                <w:szCs w:val="28"/>
                              </w:rPr>
                              <w:t xml:space="preserve"> and political environment with the requisite enabling laws, policies and regulations (Brinkerhoff, 2004). Synergies achieved through collective coordination amongst the key stakeholders and the existing systems bear a significant potential in strengthening accountability.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8CB5F" id="Text Box 98" o:spid="_x0000_s1029" type="#_x0000_t202" style="position:absolute;margin-left:0;margin-top:10.4pt;width:697.5pt;height:62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" fillcolor="#c9211e" stroked="f">
                <v:fill opacity="9766f"/>
                <v:textbox>
                  <w:txbxContent>
                    <w:p w14:paraId="0020A42A" w14:textId="77777777" w:rsidR="00B351D3" w:rsidRPr="00FE3CFF" w:rsidRDefault="00B351D3" w:rsidP="00B351D3">
                      <w:pPr>
                        <w:jc w:val="center"/>
                        <w:rPr>
                          <w:rFonts w:cs="Arial"/>
                          <w:b/>
                          <w:bCs/>
                          <w:color w:val="595959" w:themeColor="text1" w:themeTint="A6"/>
                          <w:sz w:val="22"/>
                          <w:szCs w:val="32"/>
                        </w:rPr>
                      </w:pPr>
                      <w:r w:rsidRPr="00FE3CFF">
                        <w:rPr>
                          <w:rFonts w:cs="Arial"/>
                          <w:b/>
                          <w:bCs/>
                          <w:color w:val="595959" w:themeColor="text1" w:themeTint="A6"/>
                          <w:sz w:val="22"/>
                          <w:szCs w:val="32"/>
                        </w:rPr>
                        <w:t xml:space="preserve">Advocacy Opportunity for Synergy in the Accountability Systems </w:t>
                      </w:r>
                    </w:p>
                    <w:p w14:paraId="7F469EB8" w14:textId="77777777" w:rsidR="00B351D3" w:rsidRPr="00FE3CFF" w:rsidRDefault="00B351D3" w:rsidP="00B351D3">
                      <w:pPr>
                        <w:jc w:val="both"/>
                        <w:rPr>
                          <w:rFonts w:cs="Arial"/>
                          <w:sz w:val="20"/>
                          <w:szCs w:val="28"/>
                        </w:rPr>
                      </w:pPr>
                      <w:r w:rsidRPr="00FE3CFF">
                        <w:rPr>
                          <w:rFonts w:eastAsia="Abadi Extra Light" w:cs="Arial"/>
                          <w:sz w:val="20"/>
                          <w:szCs w:val="28"/>
                        </w:rPr>
                        <w:t xml:space="preserve">Effective accountability of health financing systems and the budgeting process requires a conducive social, </w:t>
                      </w:r>
                      <w:proofErr w:type="gramStart"/>
                      <w:r w:rsidRPr="00FE3CFF">
                        <w:rPr>
                          <w:rFonts w:eastAsia="Abadi Extra Light" w:cs="Arial"/>
                          <w:sz w:val="20"/>
                          <w:szCs w:val="28"/>
                        </w:rPr>
                        <w:t>legal</w:t>
                      </w:r>
                      <w:proofErr w:type="gramEnd"/>
                      <w:r w:rsidRPr="00FE3CFF">
                        <w:rPr>
                          <w:rFonts w:eastAsia="Abadi Extra Light" w:cs="Arial"/>
                          <w:sz w:val="20"/>
                          <w:szCs w:val="28"/>
                        </w:rPr>
                        <w:t xml:space="preserve"> and political environment with the requisite enabling laws, policies and regulations (Brinkerhoff, 2004). Synergies achieved through collective coordination amongst the key stakeholders and the existing systems bear a significant potential in strengthening accountability.</w:t>
                      </w:r>
                    </w:p>
                  </w:txbxContent>
                </v:textbox>
                <w10:wrap anchorx="margin"/>
              </v:shape>
            </w:pict>
          </mc:Fallback>
        </mc:AlternateContent>
      </w:r>
    </w:p>
    <w:p w14:paraId="25B78D53" w14:textId="0BD7A8BE" w:rsidR="00086021" w:rsidRDefault="00086021"/>
    <w:p w14:paraId="0DB57582" w14:textId="77777777" w:rsidR="00086021" w:rsidRDefault="00086021"/>
    <w:p w14:paraId="0569B33A" w14:textId="77777777" w:rsidR="00086021" w:rsidRDefault="00086021"/>
    <w:p w14:paraId="430D77FC" w14:textId="77777777" w:rsidR="00086021" w:rsidRDefault="00086021"/>
    <w:p w14:paraId="76C0D60F" w14:textId="77777777" w:rsidR="00086021" w:rsidRDefault="00086021"/>
    <w:p w14:paraId="5EE103A5" w14:textId="77777777" w:rsidR="00086021" w:rsidRDefault="00086021"/>
    <w:p w14:paraId="7955B711" w14:textId="77777777" w:rsidR="00086021" w:rsidRDefault="00086021"/>
    <w:p w14:paraId="685CF71E" w14:textId="77777777" w:rsidR="00086021" w:rsidRDefault="00086021"/>
    <w:p w14:paraId="5181221F" w14:textId="77777777" w:rsidR="00086021" w:rsidRDefault="00086021"/>
    <w:p w14:paraId="6206F280" w14:textId="77777777" w:rsidR="00086021" w:rsidRDefault="00086021"/>
    <w:p w14:paraId="3F920047" w14:textId="77777777" w:rsidR="00086021" w:rsidRDefault="00086021"/>
    <w:p w14:paraId="5F216D39" w14:textId="77777777" w:rsidR="00086021" w:rsidRDefault="00086021"/>
    <w:p w14:paraId="2067FDD9" w14:textId="77777777" w:rsidR="00086021" w:rsidRDefault="00086021"/>
    <w:p w14:paraId="50823503" w14:textId="77777777" w:rsidR="00086021" w:rsidRDefault="00086021">
      <w:pPr>
        <w:sectPr w:rsidR="00086021">
          <w:headerReference w:type="default" r:id="rId52"/>
          <w:footerReference w:type="default" r:id="rId53"/>
          <w:pgSz w:w="16838" w:h="11906" w:orient="landscape"/>
          <w:pgMar w:top="1440" w:right="1440" w:bottom="708" w:left="1440" w:header="0" w:footer="0" w:gutter="0"/>
          <w:cols w:space="720"/>
          <w:formProt w:val="0"/>
          <w:docGrid w:linePitch="286" w:charSpace="12288"/>
        </w:sectPr>
      </w:pPr>
    </w:p>
    <w:p w14:paraId="2E38A35C" w14:textId="2C298475" w:rsidR="00086021" w:rsidRDefault="009E19AB">
      <w:pPr>
        <w:pStyle w:val="Heading2"/>
      </w:pPr>
      <w:bookmarkStart w:id="41" w:name="_Toc56997957"/>
      <w:r>
        <w:lastRenderedPageBreak/>
        <w:t>4. Civil Society Landscape Analysis In Kenya</w:t>
      </w:r>
      <w:bookmarkEnd w:id="41"/>
    </w:p>
    <w:p w14:paraId="4FCB52D2" w14:textId="77777777" w:rsidR="0055011C" w:rsidRPr="0055011C" w:rsidRDefault="0055011C" w:rsidP="0055011C">
      <w:pPr>
        <w:rPr>
          <w:lang w:val="nl-NL"/>
        </w:rPr>
      </w:pPr>
    </w:p>
    <w:p w14:paraId="4DDFD025" w14:textId="77777777" w:rsidR="00086021" w:rsidRDefault="009E19AB">
      <w:pPr>
        <w:pStyle w:val="Heading3"/>
      </w:pPr>
      <w:r>
        <w:t>Legal Environment</w:t>
      </w:r>
    </w:p>
    <w:p w14:paraId="1E40FF79" w14:textId="77777777" w:rsidR="00086021" w:rsidRDefault="00086021"/>
    <w:p w14:paraId="3E958B3D" w14:textId="77777777" w:rsidR="00086021" w:rsidRDefault="009E19AB" w:rsidP="0055011C">
      <w:pPr>
        <w:pStyle w:val="BodyText"/>
        <w:jc w:val="both"/>
        <w:rPr>
          <w:sz w:val="20"/>
          <w:szCs w:val="20"/>
        </w:rPr>
      </w:pPr>
      <w:r>
        <w:rPr>
          <w:sz w:val="20"/>
          <w:szCs w:val="20"/>
        </w:rPr>
        <w:t xml:space="preserve">Currently, civil society organizations are governed by the Non-Governmental Organizations Coordination Act. In 2013, the president passed into law the Public Benefits Organization (PBO) Act which was to bring all civil society organizations under one law </w:t>
      </w:r>
      <w:r>
        <w:rPr>
          <w:sz w:val="20"/>
          <w:szCs w:val="20"/>
        </w:rPr>
        <w:fldChar w:fldCharType="begin"/>
      </w:r>
      <w:r>
        <w:rPr>
          <w:sz w:val="20"/>
          <w:szCs w:val="20"/>
        </w:rPr>
        <w:instrText>CITATION The13 \l 1033</w:instrText>
      </w:r>
      <w:r>
        <w:rPr>
          <w:sz w:val="20"/>
          <w:szCs w:val="20"/>
        </w:rPr>
        <w:fldChar w:fldCharType="separate"/>
      </w:r>
      <w:r>
        <w:rPr>
          <w:sz w:val="20"/>
          <w:szCs w:val="20"/>
        </w:rPr>
        <w:t>(The Republic Of Kenya, 2013)</w:t>
      </w:r>
      <w:r>
        <w:rPr>
          <w:sz w:val="20"/>
          <w:szCs w:val="20"/>
        </w:rPr>
        <w:fldChar w:fldCharType="end"/>
      </w:r>
      <w:r>
        <w:rPr>
          <w:sz w:val="20"/>
          <w:szCs w:val="20"/>
        </w:rPr>
        <w:t xml:space="preserve">. However, the PBO Act to date has not been published in the Kenya Gazette and as such cannot be considered to be in force. This means CSOs are still under the mandate of the Non-Governmental Organizations Co-ordination Act 1990 in conjunction with the Non-Governmental Organizations Coordination Regulations </w:t>
      </w:r>
      <w:r>
        <w:rPr>
          <w:sz w:val="20"/>
          <w:szCs w:val="20"/>
        </w:rPr>
        <w:fldChar w:fldCharType="begin"/>
      </w:r>
      <w:r>
        <w:rPr>
          <w:sz w:val="20"/>
          <w:szCs w:val="20"/>
        </w:rPr>
        <w:instrText>CITATION Rep92 \l 1033</w:instrText>
      </w:r>
      <w:r>
        <w:rPr>
          <w:sz w:val="20"/>
          <w:szCs w:val="20"/>
        </w:rPr>
        <w:fldChar w:fldCharType="separate"/>
      </w:r>
      <w:r>
        <w:rPr>
          <w:sz w:val="20"/>
          <w:szCs w:val="20"/>
        </w:rPr>
        <w:t>(The Republic of Kenya, 1992)</w:t>
      </w:r>
      <w:r>
        <w:rPr>
          <w:sz w:val="20"/>
          <w:szCs w:val="20"/>
        </w:rPr>
        <w:fldChar w:fldCharType="end"/>
      </w:r>
      <w:r>
        <w:rPr>
          <w:sz w:val="20"/>
          <w:szCs w:val="20"/>
        </w:rPr>
        <w:t xml:space="preserve">and the Non-Governmental Organizations Council Code of Conduct </w:t>
      </w:r>
      <w:r>
        <w:rPr>
          <w:sz w:val="20"/>
          <w:szCs w:val="20"/>
        </w:rPr>
        <w:fldChar w:fldCharType="begin"/>
      </w:r>
      <w:r>
        <w:rPr>
          <w:sz w:val="20"/>
          <w:szCs w:val="20"/>
        </w:rPr>
        <w:instrText>CITATION Rep95 \l 1033</w:instrText>
      </w:r>
      <w:r>
        <w:rPr>
          <w:sz w:val="20"/>
          <w:szCs w:val="20"/>
        </w:rPr>
        <w:fldChar w:fldCharType="separate"/>
      </w:r>
      <w:r>
        <w:rPr>
          <w:sz w:val="20"/>
          <w:szCs w:val="20"/>
        </w:rPr>
        <w:t>(The Republic of Kenya, 1995)</w:t>
      </w:r>
      <w:r>
        <w:rPr>
          <w:sz w:val="20"/>
          <w:szCs w:val="20"/>
        </w:rPr>
        <w:fldChar w:fldCharType="end"/>
      </w:r>
      <w:r>
        <w:rPr>
          <w:sz w:val="20"/>
          <w:szCs w:val="20"/>
        </w:rPr>
        <w:t xml:space="preserve">. </w:t>
      </w:r>
    </w:p>
    <w:p w14:paraId="0A0B8B8A" w14:textId="77777777" w:rsidR="00086021" w:rsidRDefault="009E19AB" w:rsidP="0055011C">
      <w:pPr>
        <w:pStyle w:val="BodyText"/>
        <w:jc w:val="both"/>
        <w:rPr>
          <w:sz w:val="20"/>
          <w:szCs w:val="20"/>
        </w:rPr>
      </w:pPr>
      <w:r>
        <w:rPr>
          <w:sz w:val="20"/>
          <w:szCs w:val="20"/>
        </w:rPr>
        <w:t xml:space="preserve">Under the PBO Act, a PBO Authority consisting of the principal secretary, representatives from the finance and foreign affair ministry and civil society representatives, would be established to regulate existing PBOs in Kenya. PBOs would be encouraged to self-regulate by setting up forums that would enforce standards of conduct and by creating a PBO national federation consisting of all registered PBOs and PBO forums (PBO Act, Section 21). </w:t>
      </w:r>
    </w:p>
    <w:p w14:paraId="77F4E194" w14:textId="77777777" w:rsidR="00086021" w:rsidRDefault="009E19AB" w:rsidP="0055011C">
      <w:pPr>
        <w:pStyle w:val="BodyText"/>
        <w:jc w:val="both"/>
        <w:rPr>
          <w:sz w:val="20"/>
          <w:szCs w:val="20"/>
        </w:rPr>
      </w:pPr>
      <w:r>
        <w:rPr>
          <w:sz w:val="20"/>
          <w:szCs w:val="20"/>
        </w:rPr>
        <w:t xml:space="preserve">Under section 7 of the NGO Co-ordination Act, the NGO Co-ordination Board was established in 1992 as a State Corporation to regulate the NGO sector in Kenya. It currently regulates the NGOs registered in Kenya with the assistance of the NGOs Council (NGO Co-ordination Act, section 23). Regulation of NGOs includes facilitating and coordinating the work of NGOs in Kenya to ensure they align with Kenyan laws. In practice however, the board manages the registration of NGOs but carries out little regulation </w:t>
      </w:r>
      <w:r>
        <w:rPr>
          <w:sz w:val="20"/>
          <w:szCs w:val="20"/>
        </w:rPr>
        <w:fldChar w:fldCharType="begin"/>
      </w:r>
      <w:r>
        <w:rPr>
          <w:sz w:val="20"/>
          <w:szCs w:val="20"/>
        </w:rPr>
        <w:instrText>CITATION Hai10 \l 1033</w:instrText>
      </w:r>
      <w:r>
        <w:rPr>
          <w:sz w:val="20"/>
          <w:szCs w:val="20"/>
        </w:rPr>
        <w:fldChar w:fldCharType="separate"/>
      </w:r>
      <w:r>
        <w:rPr>
          <w:sz w:val="20"/>
          <w:szCs w:val="20"/>
        </w:rPr>
        <w:t>(Hailegebriel, 2010)</w:t>
      </w:r>
      <w:r>
        <w:rPr>
          <w:sz w:val="20"/>
          <w:szCs w:val="20"/>
        </w:rPr>
        <w:fldChar w:fldCharType="end"/>
      </w:r>
      <w:r>
        <w:rPr>
          <w:sz w:val="20"/>
          <w:szCs w:val="20"/>
        </w:rPr>
        <w:t xml:space="preserve">. This is because the board lacks the human resources, </w:t>
      </w:r>
      <w:proofErr w:type="gramStart"/>
      <w:r>
        <w:rPr>
          <w:sz w:val="20"/>
          <w:szCs w:val="20"/>
        </w:rPr>
        <w:t>finances</w:t>
      </w:r>
      <w:proofErr w:type="gramEnd"/>
      <w:r>
        <w:rPr>
          <w:sz w:val="20"/>
          <w:szCs w:val="20"/>
        </w:rPr>
        <w:t xml:space="preserve"> and technical capacity to oversee all the NGOs in Kenya </w:t>
      </w:r>
      <w:r>
        <w:rPr>
          <w:sz w:val="20"/>
          <w:szCs w:val="20"/>
        </w:rPr>
        <w:fldChar w:fldCharType="begin"/>
      </w:r>
      <w:r>
        <w:rPr>
          <w:sz w:val="20"/>
          <w:szCs w:val="20"/>
        </w:rPr>
        <w:instrText>CITATION Hai10 \l 1033</w:instrText>
      </w:r>
      <w:r>
        <w:rPr>
          <w:sz w:val="20"/>
          <w:szCs w:val="20"/>
        </w:rPr>
        <w:fldChar w:fldCharType="separate"/>
      </w:r>
      <w:r>
        <w:rPr>
          <w:sz w:val="20"/>
          <w:szCs w:val="20"/>
        </w:rPr>
        <w:t>(Hailegebriel, 2010)</w:t>
      </w:r>
      <w:r>
        <w:rPr>
          <w:sz w:val="20"/>
          <w:szCs w:val="20"/>
        </w:rPr>
        <w:fldChar w:fldCharType="end"/>
      </w:r>
      <w:r>
        <w:rPr>
          <w:sz w:val="20"/>
          <w:szCs w:val="20"/>
        </w:rPr>
        <w:t xml:space="preserve">. </w:t>
      </w:r>
    </w:p>
    <w:p w14:paraId="087EF0AB" w14:textId="77777777" w:rsidR="00086021" w:rsidRDefault="009E19AB" w:rsidP="0055011C">
      <w:pPr>
        <w:pStyle w:val="Heading4"/>
        <w:jc w:val="both"/>
      </w:pPr>
      <w:r>
        <w:t xml:space="preserve">a) </w:t>
      </w:r>
      <w:bookmarkStart w:id="42" w:name="_Toc56997958"/>
      <w:r>
        <w:t>Registration</w:t>
      </w:r>
      <w:bookmarkEnd w:id="42"/>
    </w:p>
    <w:p w14:paraId="08E37404" w14:textId="77777777" w:rsidR="00086021" w:rsidRDefault="00086021" w:rsidP="0055011C">
      <w:pPr>
        <w:jc w:val="both"/>
      </w:pPr>
    </w:p>
    <w:p w14:paraId="18E67128" w14:textId="77777777" w:rsidR="00086021" w:rsidRDefault="009E19AB" w:rsidP="0055011C">
      <w:pPr>
        <w:pStyle w:val="BodyText"/>
        <w:jc w:val="both"/>
        <w:rPr>
          <w:sz w:val="20"/>
          <w:szCs w:val="20"/>
        </w:rPr>
      </w:pPr>
      <w:r>
        <w:rPr>
          <w:sz w:val="20"/>
          <w:szCs w:val="20"/>
        </w:rPr>
        <w:t xml:space="preserve">Currently, the NGO registration process involves performing a name search, providing a cover letter requesting registration and filling the two required registration forms. This registration must be accompanied by three copies of the constitution signed by the top 3 officials of the NGO as well as a proposed one-year budget. The fee of registration varies between national and international NGOs, Ksh16,000 and Ksh30,000 respectively excluding other expenses such as the name search. Under the PBO Act, a timeline of 60 days for an organization’s registration application to be processed is set (PBO Act, Section 9(1)). However, the current act mentions no such timeline and NGO registration has been known to delay with no reason given </w:t>
      </w:r>
      <w:r>
        <w:rPr>
          <w:sz w:val="20"/>
          <w:szCs w:val="20"/>
        </w:rPr>
        <w:fldChar w:fldCharType="begin"/>
      </w:r>
      <w:r>
        <w:rPr>
          <w:sz w:val="20"/>
          <w:szCs w:val="20"/>
        </w:rPr>
        <w:instrText>CITATION Hai10 \l 1033</w:instrText>
      </w:r>
      <w:r>
        <w:rPr>
          <w:sz w:val="20"/>
          <w:szCs w:val="20"/>
        </w:rPr>
        <w:fldChar w:fldCharType="separate"/>
      </w:r>
      <w:r>
        <w:rPr>
          <w:sz w:val="20"/>
          <w:szCs w:val="20"/>
        </w:rPr>
        <w:t>(Hailegebriel, 2010)</w:t>
      </w:r>
      <w:r>
        <w:rPr>
          <w:sz w:val="20"/>
          <w:szCs w:val="20"/>
        </w:rPr>
        <w:fldChar w:fldCharType="end"/>
      </w:r>
      <w:r>
        <w:rPr>
          <w:sz w:val="20"/>
          <w:szCs w:val="20"/>
        </w:rPr>
        <w:t xml:space="preserve">. International law such as the Universal Declaration of Human Rights 1948 and the International Covenant for Civil and Political Rights, protect the rights of individuals to form, join and engage with CSOs. </w:t>
      </w:r>
    </w:p>
    <w:p w14:paraId="5B8FCBBE" w14:textId="77777777" w:rsidR="00086021" w:rsidRDefault="009E19AB" w:rsidP="0055011C">
      <w:pPr>
        <w:pStyle w:val="Heading4"/>
        <w:jc w:val="both"/>
      </w:pPr>
      <w:r>
        <w:t xml:space="preserve">b) </w:t>
      </w:r>
      <w:bookmarkStart w:id="43" w:name="_Toc56997959"/>
      <w:r>
        <w:t>Operation</w:t>
      </w:r>
      <w:bookmarkEnd w:id="43"/>
    </w:p>
    <w:p w14:paraId="36882B6A" w14:textId="77777777" w:rsidR="00086021" w:rsidRDefault="00086021" w:rsidP="0055011C">
      <w:pPr>
        <w:jc w:val="both"/>
      </w:pPr>
    </w:p>
    <w:p w14:paraId="20F650DC" w14:textId="77777777" w:rsidR="00086021" w:rsidRDefault="009E19AB" w:rsidP="0055011C">
      <w:pPr>
        <w:pStyle w:val="BodyText"/>
        <w:jc w:val="both"/>
        <w:rPr>
          <w:sz w:val="20"/>
          <w:szCs w:val="20"/>
        </w:rPr>
        <w:sectPr w:rsidR="00086021">
          <w:headerReference w:type="default" r:id="rId54"/>
          <w:footerReference w:type="default" r:id="rId55"/>
          <w:pgSz w:w="11906" w:h="16838"/>
          <w:pgMar w:top="1440" w:right="1440" w:bottom="1930" w:left="1440" w:header="0" w:footer="1440" w:gutter="0"/>
          <w:cols w:space="720"/>
          <w:formProt w:val="0"/>
          <w:docGrid w:linePitch="286" w:charSpace="12288"/>
        </w:sectPr>
      </w:pPr>
      <w:r>
        <w:rPr>
          <w:sz w:val="20"/>
          <w:szCs w:val="20"/>
        </w:rPr>
        <w:t xml:space="preserve">The Finance Act 2001 provides tax exemption for organizations that have been established to relieve poverty or public distress or to advance religion or education. Such organizations are awarded a tax exemption certificate valid for five years. Employees of NGOs are still required to pay income tax. Under the NGO Act, NGOs may apply for exemption of levies on custom duty on imported goods. An exemption on custom duty is provided by the Cabinet Secretary (CS) of National Treasury through the board. Exemption from VAT on goods and services required by an NGO for its functioning may also be sought by application through the board to the CS of Finance </w:t>
      </w:r>
      <w:r>
        <w:rPr>
          <w:sz w:val="20"/>
          <w:szCs w:val="20"/>
        </w:rPr>
        <w:fldChar w:fldCharType="begin"/>
      </w:r>
      <w:r>
        <w:rPr>
          <w:sz w:val="20"/>
          <w:szCs w:val="20"/>
        </w:rPr>
        <w:instrText>CITATION Rep92 \l 1033</w:instrText>
      </w:r>
      <w:r>
        <w:rPr>
          <w:sz w:val="20"/>
          <w:szCs w:val="20"/>
        </w:rPr>
        <w:fldChar w:fldCharType="separate"/>
      </w:r>
      <w:r>
        <w:rPr>
          <w:sz w:val="20"/>
          <w:szCs w:val="20"/>
        </w:rPr>
        <w:t>(The Republic of Kenya, 1992)</w:t>
      </w:r>
      <w:r>
        <w:rPr>
          <w:sz w:val="20"/>
          <w:szCs w:val="20"/>
        </w:rPr>
        <w:fldChar w:fldCharType="end"/>
      </w:r>
      <w:r>
        <w:rPr>
          <w:sz w:val="20"/>
          <w:szCs w:val="20"/>
        </w:rPr>
        <w:t>. The PBO Act provides tax exemption for donations, as well as sponsorships and membership subscriptions. No custom duties are charged on products imported for the PBO’s public benefit work and this requires no application. Though the NGO Act offers these tax benefits in theory their</w:t>
      </w:r>
    </w:p>
    <w:p w14:paraId="2488C91D" w14:textId="77777777" w:rsidR="00086021" w:rsidRDefault="009E19AB" w:rsidP="0055011C">
      <w:pPr>
        <w:pStyle w:val="BodyText"/>
        <w:jc w:val="both"/>
        <w:rPr>
          <w:sz w:val="20"/>
          <w:szCs w:val="20"/>
        </w:rPr>
      </w:pPr>
      <w:r>
        <w:rPr>
          <w:sz w:val="20"/>
          <w:szCs w:val="20"/>
        </w:rPr>
        <w:lastRenderedPageBreak/>
        <w:t xml:space="preserve">implementation, apart from income tax exemption, is lacking </w:t>
      </w:r>
      <w:r>
        <w:rPr>
          <w:sz w:val="20"/>
          <w:szCs w:val="20"/>
        </w:rPr>
        <w:fldChar w:fldCharType="begin"/>
      </w:r>
      <w:r>
        <w:rPr>
          <w:sz w:val="20"/>
          <w:szCs w:val="20"/>
        </w:rPr>
        <w:instrText>CITATION Int19 \l 1033  \m Hai10</w:instrText>
      </w:r>
      <w:r>
        <w:rPr>
          <w:sz w:val="20"/>
          <w:szCs w:val="20"/>
        </w:rPr>
        <w:fldChar w:fldCharType="separate"/>
      </w:r>
      <w:r>
        <w:rPr>
          <w:sz w:val="20"/>
          <w:szCs w:val="20"/>
        </w:rPr>
        <w:t>(International Center for Not-for-Profit Law, 2019; Hailegebriel, 2010)</w:t>
      </w:r>
      <w:r>
        <w:rPr>
          <w:sz w:val="20"/>
          <w:szCs w:val="20"/>
        </w:rPr>
        <w:fldChar w:fldCharType="end"/>
      </w:r>
      <w:r>
        <w:rPr>
          <w:sz w:val="20"/>
          <w:szCs w:val="20"/>
        </w:rPr>
        <w:t>.</w:t>
      </w:r>
    </w:p>
    <w:p w14:paraId="2E981210" w14:textId="77777777" w:rsidR="00086021" w:rsidRDefault="009E19AB" w:rsidP="0055011C">
      <w:pPr>
        <w:pStyle w:val="BodyText"/>
        <w:jc w:val="both"/>
        <w:rPr>
          <w:sz w:val="20"/>
          <w:szCs w:val="20"/>
        </w:rPr>
      </w:pPr>
      <w:r>
        <w:rPr>
          <w:sz w:val="20"/>
          <w:szCs w:val="20"/>
        </w:rPr>
        <w:t xml:space="preserve">The NGO Co-ordination Act specifies that NGOs cannot become a branch or affiliate with political organizations/groups outside of Kenya but can affiliate with a Kenyan political organization. The PBO Act removes this exception and states all PBOs are not allowed to participate in or support political activities such as fundraising or campaigning for political parties. </w:t>
      </w:r>
    </w:p>
    <w:p w14:paraId="1AF9AFF4" w14:textId="77777777" w:rsidR="00086021" w:rsidRDefault="009E19AB" w:rsidP="0055011C">
      <w:pPr>
        <w:pStyle w:val="Heading4"/>
        <w:jc w:val="both"/>
      </w:pPr>
      <w:r>
        <w:t>c) Dissolution</w:t>
      </w:r>
    </w:p>
    <w:p w14:paraId="77DFE9B2" w14:textId="77777777" w:rsidR="00086021" w:rsidRDefault="00086021" w:rsidP="0055011C">
      <w:pPr>
        <w:jc w:val="both"/>
      </w:pPr>
    </w:p>
    <w:p w14:paraId="64154B7F" w14:textId="77777777" w:rsidR="00086021" w:rsidRDefault="009E19AB" w:rsidP="0055011C">
      <w:pPr>
        <w:pStyle w:val="BodyText"/>
        <w:jc w:val="both"/>
        <w:rPr>
          <w:sz w:val="20"/>
          <w:szCs w:val="20"/>
        </w:rPr>
      </w:pPr>
      <w:r>
        <w:rPr>
          <w:sz w:val="20"/>
          <w:szCs w:val="20"/>
        </w:rPr>
        <w:t xml:space="preserve">In the event of the dissolution of an NGO, the NGO Co-ordination Act requires a reason to be provided to the board and written consent acquired </w:t>
      </w:r>
      <w:r>
        <w:rPr>
          <w:sz w:val="20"/>
          <w:szCs w:val="20"/>
        </w:rPr>
        <w:fldChar w:fldCharType="begin"/>
      </w:r>
      <w:r>
        <w:rPr>
          <w:sz w:val="20"/>
          <w:szCs w:val="20"/>
        </w:rPr>
        <w:instrText>CITATION Rep92 \l 1033</w:instrText>
      </w:r>
      <w:r>
        <w:rPr>
          <w:sz w:val="20"/>
          <w:szCs w:val="20"/>
        </w:rPr>
        <w:fldChar w:fldCharType="separate"/>
      </w:r>
      <w:r>
        <w:rPr>
          <w:sz w:val="20"/>
          <w:szCs w:val="20"/>
        </w:rPr>
        <w:t>(The Republic of Kenya, 1992)</w:t>
      </w:r>
      <w:r>
        <w:rPr>
          <w:sz w:val="20"/>
          <w:szCs w:val="20"/>
        </w:rPr>
        <w:fldChar w:fldCharType="end"/>
      </w:r>
      <w:r>
        <w:rPr>
          <w:sz w:val="20"/>
          <w:szCs w:val="20"/>
        </w:rPr>
        <w:t>. The assets and property of the NGO are to be disposed by the dissolving NGO. The PBO Act requires a dissolving PBO to transfer its remaining assets to a PBO carrying out similar work.</w:t>
      </w:r>
    </w:p>
    <w:p w14:paraId="1FFE2E77" w14:textId="77777777" w:rsidR="00086021" w:rsidRDefault="009E19AB" w:rsidP="0055011C">
      <w:pPr>
        <w:pStyle w:val="Heading4"/>
        <w:jc w:val="both"/>
      </w:pPr>
      <w:r>
        <w:t xml:space="preserve">d) </w:t>
      </w:r>
      <w:bookmarkStart w:id="44" w:name="_Toc56997961"/>
      <w:r>
        <w:t>Enablers &amp; Barriers</w:t>
      </w:r>
      <w:bookmarkEnd w:id="44"/>
    </w:p>
    <w:p w14:paraId="75495136" w14:textId="77777777" w:rsidR="00086021" w:rsidRDefault="00086021" w:rsidP="0055011C">
      <w:pPr>
        <w:jc w:val="both"/>
      </w:pPr>
    </w:p>
    <w:p w14:paraId="18BD777C" w14:textId="1BCA1036" w:rsidR="00086021" w:rsidRDefault="009E19AB" w:rsidP="0055011C">
      <w:pPr>
        <w:pStyle w:val="BodyText"/>
        <w:jc w:val="both"/>
        <w:rPr>
          <w:sz w:val="20"/>
          <w:szCs w:val="20"/>
        </w:rPr>
      </w:pPr>
      <w:r>
        <w:rPr>
          <w:sz w:val="20"/>
          <w:szCs w:val="20"/>
        </w:rPr>
        <w:t xml:space="preserve">Successful CSO engagement in policymaking and domestic resource </w:t>
      </w:r>
      <w:r w:rsidR="00A45B97">
        <w:rPr>
          <w:sz w:val="20"/>
          <w:szCs w:val="20"/>
        </w:rPr>
        <w:t xml:space="preserve">mobilization </w:t>
      </w:r>
      <w:r>
        <w:rPr>
          <w:sz w:val="20"/>
          <w:szCs w:val="20"/>
        </w:rPr>
        <w:t>depends on the enablers and barriers encountered:</w:t>
      </w:r>
    </w:p>
    <w:p w14:paraId="379D950F" w14:textId="77777777" w:rsidR="00086021" w:rsidRDefault="009E19AB" w:rsidP="0055011C">
      <w:pPr>
        <w:pStyle w:val="Heading5"/>
        <w:jc w:val="both"/>
      </w:pPr>
      <w:r>
        <w:t>i. Trust</w:t>
      </w:r>
    </w:p>
    <w:p w14:paraId="336C1F17" w14:textId="77777777" w:rsidR="00086021" w:rsidRDefault="009E19AB" w:rsidP="0055011C">
      <w:pPr>
        <w:pStyle w:val="BodyText"/>
        <w:jc w:val="both"/>
        <w:rPr>
          <w:sz w:val="20"/>
          <w:szCs w:val="20"/>
        </w:rPr>
      </w:pPr>
      <w:r>
        <w:rPr>
          <w:sz w:val="20"/>
          <w:szCs w:val="20"/>
        </w:rPr>
        <w:t xml:space="preserve">Mistrust of CSOs by the beneficiaries and policymakers has made advocacy more difficult in low-income and middle-income countries </w:t>
      </w:r>
      <w:r>
        <w:rPr>
          <w:sz w:val="20"/>
          <w:szCs w:val="20"/>
        </w:rPr>
        <w:fldChar w:fldCharType="begin"/>
      </w:r>
      <w:r>
        <w:rPr>
          <w:sz w:val="20"/>
          <w:szCs w:val="20"/>
        </w:rPr>
        <w:instrText>CITATION Dva20 \l 1033</w:instrText>
      </w:r>
      <w:r>
        <w:rPr>
          <w:sz w:val="20"/>
          <w:szCs w:val="20"/>
        </w:rPr>
        <w:fldChar w:fldCharType="separate"/>
      </w:r>
      <w:r>
        <w:rPr>
          <w:sz w:val="20"/>
          <w:szCs w:val="20"/>
        </w:rPr>
        <w:t>(Allison, et al., 2020)</w:t>
      </w:r>
      <w:r>
        <w:rPr>
          <w:sz w:val="20"/>
          <w:szCs w:val="20"/>
        </w:rPr>
        <w:fldChar w:fldCharType="end"/>
      </w:r>
      <w:r>
        <w:rPr>
          <w:sz w:val="20"/>
          <w:szCs w:val="20"/>
        </w:rPr>
        <w:t xml:space="preserve">. This mistrust may be because of misunderstandings or stigma around the topic of advocacy the CSO is undertaking such as a stigmatized disease </w:t>
      </w:r>
      <w:r>
        <w:rPr>
          <w:sz w:val="20"/>
          <w:szCs w:val="20"/>
        </w:rPr>
        <w:fldChar w:fldCharType="begin"/>
      </w:r>
      <w:r>
        <w:rPr>
          <w:sz w:val="20"/>
          <w:szCs w:val="20"/>
        </w:rPr>
        <w:instrText>CITATION Dva20 \l 1033</w:instrText>
      </w:r>
      <w:r>
        <w:rPr>
          <w:sz w:val="20"/>
          <w:szCs w:val="20"/>
        </w:rPr>
        <w:fldChar w:fldCharType="separate"/>
      </w:r>
      <w:r>
        <w:rPr>
          <w:sz w:val="20"/>
          <w:szCs w:val="20"/>
        </w:rPr>
        <w:t>(Allison, et al., 2020)</w:t>
      </w:r>
      <w:r>
        <w:rPr>
          <w:sz w:val="20"/>
          <w:szCs w:val="20"/>
        </w:rPr>
        <w:fldChar w:fldCharType="end"/>
      </w:r>
      <w:r>
        <w:rPr>
          <w:sz w:val="20"/>
          <w:szCs w:val="20"/>
        </w:rPr>
        <w:t xml:space="preserve">. </w:t>
      </w:r>
    </w:p>
    <w:p w14:paraId="55F18980" w14:textId="77777777" w:rsidR="00086021" w:rsidRDefault="009E19AB" w:rsidP="0055011C">
      <w:pPr>
        <w:pStyle w:val="Heading5"/>
        <w:jc w:val="both"/>
      </w:pPr>
      <w:r>
        <w:t>ii. Competition</w:t>
      </w:r>
    </w:p>
    <w:p w14:paraId="2E34CCAB" w14:textId="7A27D781" w:rsidR="00086021" w:rsidRDefault="009E19AB" w:rsidP="0055011C">
      <w:pPr>
        <w:pStyle w:val="BodyText"/>
        <w:jc w:val="both"/>
        <w:rPr>
          <w:sz w:val="20"/>
          <w:szCs w:val="20"/>
        </w:rPr>
      </w:pPr>
      <w:r>
        <w:rPr>
          <w:sz w:val="20"/>
          <w:szCs w:val="20"/>
        </w:rPr>
        <w:t xml:space="preserve">Competition between CSOs of similar work for the available grants and resources may fuel further mistrust </w:t>
      </w:r>
      <w:r>
        <w:rPr>
          <w:sz w:val="20"/>
          <w:szCs w:val="20"/>
        </w:rPr>
        <w:fldChar w:fldCharType="begin"/>
      </w:r>
      <w:r>
        <w:rPr>
          <w:sz w:val="20"/>
          <w:szCs w:val="20"/>
        </w:rPr>
        <w:instrText>CITATION Spi11 \m Dva20 \l 1033</w:instrText>
      </w:r>
      <w:r>
        <w:rPr>
          <w:sz w:val="20"/>
          <w:szCs w:val="20"/>
        </w:rPr>
        <w:fldChar w:fldCharType="separate"/>
      </w:r>
      <w:r>
        <w:rPr>
          <w:sz w:val="20"/>
          <w:szCs w:val="20"/>
        </w:rPr>
        <w:t>(Spicer, et al., 2011; Allison, et al., 2020)</w:t>
      </w:r>
      <w:r>
        <w:rPr>
          <w:sz w:val="20"/>
          <w:szCs w:val="20"/>
        </w:rPr>
        <w:fldChar w:fldCharType="end"/>
      </w:r>
      <w:r>
        <w:rPr>
          <w:sz w:val="20"/>
          <w:szCs w:val="20"/>
        </w:rPr>
        <w:t xml:space="preserve">. On the other hand, if CSOs can establish trusted relationships with stakeholder and policymakers, more successful collaborations and resource </w:t>
      </w:r>
      <w:r w:rsidR="00A45B97">
        <w:rPr>
          <w:sz w:val="20"/>
          <w:szCs w:val="20"/>
        </w:rPr>
        <w:t xml:space="preserve">mobilization </w:t>
      </w:r>
      <w:r>
        <w:rPr>
          <w:sz w:val="20"/>
          <w:szCs w:val="20"/>
        </w:rPr>
        <w:t xml:space="preserve">have been noted </w:t>
      </w:r>
      <w:r>
        <w:rPr>
          <w:sz w:val="20"/>
          <w:szCs w:val="20"/>
        </w:rPr>
        <w:fldChar w:fldCharType="begin"/>
      </w:r>
      <w:r>
        <w:rPr>
          <w:sz w:val="20"/>
          <w:szCs w:val="20"/>
        </w:rPr>
        <w:instrText>CITATION Dva20 \l 1033</w:instrText>
      </w:r>
      <w:r>
        <w:rPr>
          <w:sz w:val="20"/>
          <w:szCs w:val="20"/>
        </w:rPr>
        <w:fldChar w:fldCharType="separate"/>
      </w:r>
      <w:r>
        <w:rPr>
          <w:sz w:val="20"/>
          <w:szCs w:val="20"/>
        </w:rPr>
        <w:t>(Allison, et al., 2020)</w:t>
      </w:r>
      <w:r>
        <w:rPr>
          <w:sz w:val="20"/>
          <w:szCs w:val="20"/>
        </w:rPr>
        <w:fldChar w:fldCharType="end"/>
      </w:r>
      <w:r>
        <w:rPr>
          <w:sz w:val="20"/>
          <w:szCs w:val="20"/>
        </w:rPr>
        <w:t xml:space="preserve">. </w:t>
      </w:r>
    </w:p>
    <w:p w14:paraId="3A9C7571" w14:textId="77777777" w:rsidR="00086021" w:rsidRDefault="009E19AB" w:rsidP="0055011C">
      <w:pPr>
        <w:pStyle w:val="Heading5"/>
        <w:jc w:val="both"/>
      </w:pPr>
      <w:r>
        <w:t>iii. Public Awareness</w:t>
      </w:r>
    </w:p>
    <w:p w14:paraId="1F52482B" w14:textId="77777777" w:rsidR="00086021" w:rsidRDefault="009E19AB" w:rsidP="0055011C">
      <w:pPr>
        <w:pStyle w:val="BodyText"/>
        <w:jc w:val="both"/>
        <w:rPr>
          <w:sz w:val="20"/>
          <w:szCs w:val="20"/>
        </w:rPr>
      </w:pPr>
      <w:r>
        <w:rPr>
          <w:sz w:val="20"/>
          <w:szCs w:val="20"/>
        </w:rPr>
        <w:t xml:space="preserve">Public awareness and correct understanding are preconditions of more effective advocacy and scholars have advised key stakeholders such as lawyers, policymakers and social workers be educated on human rights and advocacy </w:t>
      </w:r>
      <w:r>
        <w:rPr>
          <w:sz w:val="20"/>
          <w:szCs w:val="20"/>
        </w:rPr>
        <w:fldChar w:fldCharType="begin"/>
      </w:r>
      <w:r>
        <w:rPr>
          <w:sz w:val="20"/>
          <w:szCs w:val="20"/>
        </w:rPr>
        <w:instrText>CITATION Lin15 \l 1033</w:instrText>
      </w:r>
      <w:r>
        <w:rPr>
          <w:sz w:val="20"/>
          <w:szCs w:val="20"/>
        </w:rPr>
        <w:fldChar w:fldCharType="separate"/>
      </w:r>
      <w:r>
        <w:rPr>
          <w:sz w:val="20"/>
          <w:szCs w:val="20"/>
        </w:rPr>
        <w:t>(Farrer, Marinetti, Cavaco, &amp; Costongs, 2015)</w:t>
      </w:r>
      <w:r>
        <w:rPr>
          <w:sz w:val="20"/>
          <w:szCs w:val="20"/>
        </w:rPr>
        <w:fldChar w:fldCharType="end"/>
      </w:r>
      <w:r>
        <w:rPr>
          <w:sz w:val="20"/>
          <w:szCs w:val="20"/>
        </w:rPr>
        <w:t xml:space="preserve">. </w:t>
      </w:r>
    </w:p>
    <w:p w14:paraId="32A7647A" w14:textId="77777777" w:rsidR="00086021" w:rsidRDefault="009E19AB" w:rsidP="0055011C">
      <w:pPr>
        <w:pStyle w:val="Heading5"/>
        <w:jc w:val="both"/>
      </w:pPr>
      <w:r>
        <w:t>iv. Political Context and Will</w:t>
      </w:r>
    </w:p>
    <w:p w14:paraId="5AC66167" w14:textId="77777777" w:rsidR="00086021" w:rsidRDefault="009E19AB" w:rsidP="0055011C">
      <w:pPr>
        <w:pStyle w:val="BodyText"/>
        <w:jc w:val="both"/>
        <w:rPr>
          <w:sz w:val="20"/>
          <w:szCs w:val="20"/>
        </w:rPr>
      </w:pPr>
      <w:r>
        <w:rPr>
          <w:sz w:val="20"/>
          <w:szCs w:val="20"/>
        </w:rPr>
        <w:t xml:space="preserve">The political environment of the country plays a role in this as a government that is interested in public opinion acts as a facilitator to public awareness efforts. </w:t>
      </w:r>
    </w:p>
    <w:p w14:paraId="07939865" w14:textId="77777777" w:rsidR="00086021" w:rsidRDefault="009E19AB" w:rsidP="0055011C">
      <w:pPr>
        <w:pStyle w:val="BodyText"/>
        <w:jc w:val="both"/>
        <w:rPr>
          <w:sz w:val="20"/>
          <w:szCs w:val="20"/>
        </w:rPr>
      </w:pPr>
      <w:r>
        <w:rPr>
          <w:sz w:val="20"/>
          <w:szCs w:val="20"/>
        </w:rPr>
        <w:t xml:space="preserve">A literature review found that the political and economic environment of a country was the most frequently mentioned barrier to successful advocacy of health equity. This literature review discovered that policymaking prioritized economic policies such as privatization and deregulation over health equity policies </w:t>
      </w:r>
      <w:r>
        <w:rPr>
          <w:sz w:val="20"/>
          <w:szCs w:val="20"/>
        </w:rPr>
        <w:fldChar w:fldCharType="begin"/>
      </w:r>
      <w:r>
        <w:rPr>
          <w:sz w:val="20"/>
          <w:szCs w:val="20"/>
        </w:rPr>
        <w:instrText>CITATION Lin15 \l 1033</w:instrText>
      </w:r>
      <w:r>
        <w:rPr>
          <w:sz w:val="20"/>
          <w:szCs w:val="20"/>
        </w:rPr>
        <w:fldChar w:fldCharType="separate"/>
      </w:r>
      <w:r>
        <w:rPr>
          <w:sz w:val="20"/>
          <w:szCs w:val="20"/>
        </w:rPr>
        <w:t>(Farrer, Marinetti, Cavaco, &amp; Costongs, 2015)</w:t>
      </w:r>
      <w:r>
        <w:rPr>
          <w:sz w:val="20"/>
          <w:szCs w:val="20"/>
        </w:rPr>
        <w:fldChar w:fldCharType="end"/>
      </w:r>
      <w:r>
        <w:rPr>
          <w:sz w:val="20"/>
          <w:szCs w:val="20"/>
        </w:rPr>
        <w:t xml:space="preserve">. In fact, in countries where the economy was prioritized over other spheres, a more individualized, minimal collective action society towards health equity was noted. These types of societies were hesitant to engage in collective responsibility initiatives and patients were usually blamed for their ill health </w:t>
      </w:r>
      <w:r>
        <w:rPr>
          <w:sz w:val="20"/>
          <w:szCs w:val="20"/>
        </w:rPr>
        <w:fldChar w:fldCharType="begin"/>
      </w:r>
      <w:r>
        <w:rPr>
          <w:sz w:val="20"/>
          <w:szCs w:val="20"/>
        </w:rPr>
        <w:instrText>CITATION Lin15 \l 1033</w:instrText>
      </w:r>
      <w:r>
        <w:rPr>
          <w:sz w:val="20"/>
          <w:szCs w:val="20"/>
        </w:rPr>
        <w:fldChar w:fldCharType="separate"/>
      </w:r>
      <w:r>
        <w:rPr>
          <w:sz w:val="20"/>
          <w:szCs w:val="20"/>
        </w:rPr>
        <w:t>(Farrer, Marinetti, Cavaco, &amp; Costongs, 2015)</w:t>
      </w:r>
      <w:r>
        <w:rPr>
          <w:sz w:val="20"/>
          <w:szCs w:val="20"/>
        </w:rPr>
        <w:fldChar w:fldCharType="end"/>
      </w:r>
      <w:r>
        <w:rPr>
          <w:sz w:val="20"/>
          <w:szCs w:val="20"/>
        </w:rPr>
        <w:t xml:space="preserve">. This made it difficult for health advocates to gather support from both policymakers and the public. Politically, prohibitory legislation that may hinder the activities of the CSO or make it difficult to engage with the beneficiaries acts as a barrier to successful advocacy </w:t>
      </w:r>
      <w:r>
        <w:rPr>
          <w:sz w:val="20"/>
          <w:szCs w:val="20"/>
        </w:rPr>
        <w:fldChar w:fldCharType="begin"/>
      </w:r>
      <w:r>
        <w:rPr>
          <w:sz w:val="20"/>
          <w:szCs w:val="20"/>
        </w:rPr>
        <w:instrText>CITATION Spi11 \l 1033</w:instrText>
      </w:r>
      <w:r>
        <w:rPr>
          <w:sz w:val="20"/>
          <w:szCs w:val="20"/>
        </w:rPr>
        <w:fldChar w:fldCharType="separate"/>
      </w:r>
      <w:r>
        <w:rPr>
          <w:sz w:val="20"/>
          <w:szCs w:val="20"/>
        </w:rPr>
        <w:t>(Spicer, et al., 2011)</w:t>
      </w:r>
      <w:r>
        <w:rPr>
          <w:sz w:val="20"/>
          <w:szCs w:val="20"/>
        </w:rPr>
        <w:fldChar w:fldCharType="end"/>
      </w:r>
      <w:r>
        <w:rPr>
          <w:sz w:val="20"/>
          <w:szCs w:val="20"/>
        </w:rPr>
        <w:t xml:space="preserve">. The relationship between CSOs and political parties has been found to be one of the most important facilitators/barriers to the influence CSOs have over policy making in Africa </w:t>
      </w:r>
      <w:r>
        <w:rPr>
          <w:sz w:val="20"/>
          <w:szCs w:val="20"/>
        </w:rPr>
        <w:fldChar w:fldCharType="begin"/>
      </w:r>
      <w:r>
        <w:rPr>
          <w:sz w:val="20"/>
          <w:szCs w:val="20"/>
        </w:rPr>
        <w:instrText>CITATION Rob07 \l 1033</w:instrText>
      </w:r>
      <w:r>
        <w:rPr>
          <w:sz w:val="20"/>
          <w:szCs w:val="20"/>
        </w:rPr>
        <w:fldChar w:fldCharType="separate"/>
      </w:r>
      <w:r>
        <w:rPr>
          <w:sz w:val="20"/>
          <w:szCs w:val="20"/>
        </w:rPr>
        <w:t>(Robinson &amp; Friedman, 2007)</w:t>
      </w:r>
      <w:r>
        <w:rPr>
          <w:sz w:val="20"/>
          <w:szCs w:val="20"/>
        </w:rPr>
        <w:fldChar w:fldCharType="end"/>
      </w:r>
      <w:r>
        <w:rPr>
          <w:sz w:val="20"/>
          <w:szCs w:val="20"/>
        </w:rPr>
        <w:t>.</w:t>
      </w:r>
    </w:p>
    <w:p w14:paraId="444A045A" w14:textId="77777777" w:rsidR="00086021" w:rsidRDefault="009E19AB" w:rsidP="0055011C">
      <w:pPr>
        <w:pStyle w:val="Heading5"/>
        <w:jc w:val="both"/>
      </w:pPr>
      <w:r>
        <w:t>v. Stakeholder Engagement</w:t>
      </w:r>
    </w:p>
    <w:p w14:paraId="6695CA3C" w14:textId="77777777" w:rsidR="00086021" w:rsidRDefault="009E19AB" w:rsidP="0055011C">
      <w:pPr>
        <w:pStyle w:val="BodyText"/>
        <w:jc w:val="both"/>
        <w:rPr>
          <w:sz w:val="20"/>
          <w:szCs w:val="20"/>
        </w:rPr>
      </w:pPr>
      <w:r>
        <w:rPr>
          <w:sz w:val="20"/>
          <w:szCs w:val="20"/>
        </w:rPr>
        <w:t xml:space="preserve">CSOs ensuring the public has a say in policymaking may be as important as the direct involvement of CSOs in policymaking </w:t>
      </w:r>
      <w:r>
        <w:rPr>
          <w:sz w:val="20"/>
          <w:szCs w:val="20"/>
        </w:rPr>
        <w:fldChar w:fldCharType="begin"/>
      </w:r>
      <w:r>
        <w:rPr>
          <w:sz w:val="20"/>
          <w:szCs w:val="20"/>
        </w:rPr>
        <w:instrText>CITATION Rob07 \l 1033</w:instrText>
      </w:r>
      <w:r>
        <w:rPr>
          <w:sz w:val="20"/>
          <w:szCs w:val="20"/>
        </w:rPr>
        <w:fldChar w:fldCharType="separate"/>
      </w:r>
      <w:r>
        <w:rPr>
          <w:sz w:val="20"/>
          <w:szCs w:val="20"/>
        </w:rPr>
        <w:t>(Robinson &amp; Friedman, 2007)</w:t>
      </w:r>
      <w:r>
        <w:rPr>
          <w:sz w:val="20"/>
          <w:szCs w:val="20"/>
        </w:rPr>
        <w:fldChar w:fldCharType="end"/>
      </w:r>
      <w:r>
        <w:rPr>
          <w:sz w:val="20"/>
          <w:szCs w:val="20"/>
        </w:rPr>
        <w:t xml:space="preserve">. Facilitating face-to-face meetings between CSOs and policymakers has been shown to increase knowledge and build networks especially if communication between advocacy groups and the government are ineffective </w:t>
      </w:r>
      <w:r>
        <w:rPr>
          <w:sz w:val="20"/>
          <w:szCs w:val="20"/>
        </w:rPr>
        <w:fldChar w:fldCharType="begin"/>
      </w:r>
      <w:r>
        <w:rPr>
          <w:sz w:val="20"/>
          <w:szCs w:val="20"/>
        </w:rPr>
        <w:instrText>CITATION Dva20 \l 1033</w:instrText>
      </w:r>
      <w:r>
        <w:rPr>
          <w:sz w:val="20"/>
          <w:szCs w:val="20"/>
        </w:rPr>
        <w:fldChar w:fldCharType="separate"/>
      </w:r>
      <w:r>
        <w:rPr>
          <w:sz w:val="20"/>
          <w:szCs w:val="20"/>
        </w:rPr>
        <w:t>(Allison, et al., 2020)</w:t>
      </w:r>
      <w:r>
        <w:rPr>
          <w:sz w:val="20"/>
          <w:szCs w:val="20"/>
        </w:rPr>
        <w:fldChar w:fldCharType="end"/>
      </w:r>
      <w:r>
        <w:rPr>
          <w:sz w:val="20"/>
          <w:szCs w:val="20"/>
        </w:rPr>
        <w:t xml:space="preserve">. </w:t>
      </w:r>
    </w:p>
    <w:p w14:paraId="1B7C3BF6" w14:textId="77777777" w:rsidR="00086021" w:rsidRDefault="009E19AB" w:rsidP="0055011C">
      <w:pPr>
        <w:pStyle w:val="Heading5"/>
        <w:jc w:val="both"/>
      </w:pPr>
      <w:proofErr w:type="spellStart"/>
      <w:r>
        <w:lastRenderedPageBreak/>
        <w:t>vI</w:t>
      </w:r>
      <w:proofErr w:type="spellEnd"/>
      <w:r>
        <w:t>. Data Integrity</w:t>
      </w:r>
    </w:p>
    <w:p w14:paraId="08150FE2" w14:textId="77777777" w:rsidR="00086021" w:rsidRDefault="009E19AB" w:rsidP="0055011C">
      <w:pPr>
        <w:pStyle w:val="BodyText"/>
        <w:jc w:val="both"/>
        <w:rPr>
          <w:sz w:val="20"/>
          <w:szCs w:val="20"/>
        </w:rPr>
      </w:pPr>
      <w:r>
        <w:rPr>
          <w:sz w:val="20"/>
          <w:szCs w:val="20"/>
        </w:rPr>
        <w:t xml:space="preserve">Out of date data is another barrier hindering successful advocacy by CSOs. Without appropriate data, it is difficult for CSOs to know the areas needing their most urgent attention. Up-to-date data and mixed-methods research allow CSOs to create evidence-based strategies and close existing knowledge gaps which are useful for advocacy work </w:t>
      </w:r>
      <w:r>
        <w:rPr>
          <w:sz w:val="20"/>
          <w:szCs w:val="20"/>
        </w:rPr>
        <w:fldChar w:fldCharType="begin"/>
      </w:r>
      <w:r>
        <w:rPr>
          <w:sz w:val="20"/>
          <w:szCs w:val="20"/>
        </w:rPr>
        <w:instrText>CITATION Dva20 \l 1033  \m Lin15</w:instrText>
      </w:r>
      <w:r>
        <w:rPr>
          <w:sz w:val="20"/>
          <w:szCs w:val="20"/>
        </w:rPr>
        <w:fldChar w:fldCharType="separate"/>
      </w:r>
      <w:r>
        <w:rPr>
          <w:sz w:val="20"/>
          <w:szCs w:val="20"/>
        </w:rPr>
        <w:t>(Allison, et al., 2020; Farrer, Marinetti, Cavaco, &amp; Costongs, 2015)</w:t>
      </w:r>
      <w:r>
        <w:rPr>
          <w:sz w:val="20"/>
          <w:szCs w:val="20"/>
        </w:rPr>
        <w:fldChar w:fldCharType="end"/>
      </w:r>
      <w:r>
        <w:rPr>
          <w:sz w:val="20"/>
          <w:szCs w:val="20"/>
        </w:rPr>
        <w:t>.</w:t>
      </w:r>
    </w:p>
    <w:p w14:paraId="2B0EF777" w14:textId="77777777" w:rsidR="00086021" w:rsidRDefault="009E19AB" w:rsidP="0055011C">
      <w:pPr>
        <w:pStyle w:val="Heading5"/>
        <w:jc w:val="both"/>
      </w:pPr>
      <w:r>
        <w:t>vii. Resources</w:t>
      </w:r>
    </w:p>
    <w:p w14:paraId="78386A11" w14:textId="77777777" w:rsidR="00086021" w:rsidRDefault="009E19AB" w:rsidP="0055011C">
      <w:pPr>
        <w:pStyle w:val="BodyText"/>
        <w:jc w:val="both"/>
        <w:rPr>
          <w:sz w:val="20"/>
          <w:szCs w:val="20"/>
        </w:rPr>
      </w:pPr>
      <w:r>
        <w:rPr>
          <w:sz w:val="20"/>
          <w:szCs w:val="20"/>
        </w:rPr>
        <w:t xml:space="preserve">Limited resources are frequently mentioned as a barrier to CSO activity and advocacy. Resources not only include finances but human resources as well </w:t>
      </w:r>
      <w:r>
        <w:rPr>
          <w:sz w:val="20"/>
          <w:szCs w:val="20"/>
        </w:rPr>
        <w:fldChar w:fldCharType="begin"/>
      </w:r>
      <w:r>
        <w:rPr>
          <w:sz w:val="20"/>
          <w:szCs w:val="20"/>
        </w:rPr>
        <w:instrText>CITATION Dva20 \l 1033</w:instrText>
      </w:r>
      <w:r>
        <w:rPr>
          <w:sz w:val="20"/>
          <w:szCs w:val="20"/>
        </w:rPr>
        <w:fldChar w:fldCharType="separate"/>
      </w:r>
      <w:r>
        <w:rPr>
          <w:sz w:val="20"/>
          <w:szCs w:val="20"/>
        </w:rPr>
        <w:t>(Allison, et al., 2020)</w:t>
      </w:r>
      <w:r>
        <w:rPr>
          <w:sz w:val="20"/>
          <w:szCs w:val="20"/>
        </w:rPr>
        <w:fldChar w:fldCharType="end"/>
      </w:r>
      <w:r>
        <w:rPr>
          <w:sz w:val="20"/>
          <w:szCs w:val="20"/>
        </w:rPr>
        <w:t xml:space="preserve">. CSOs have found sharing advocacy strategies and past experiences amongst themselves is useful as it not only fosters better relationships but builds networks </w:t>
      </w:r>
      <w:r>
        <w:rPr>
          <w:sz w:val="20"/>
          <w:szCs w:val="20"/>
        </w:rPr>
        <w:fldChar w:fldCharType="begin"/>
      </w:r>
      <w:r>
        <w:rPr>
          <w:sz w:val="20"/>
          <w:szCs w:val="20"/>
        </w:rPr>
        <w:instrText>CITATION Dva20 \l 1033  \m Sal10</w:instrText>
      </w:r>
      <w:r>
        <w:rPr>
          <w:sz w:val="20"/>
          <w:szCs w:val="20"/>
        </w:rPr>
        <w:fldChar w:fldCharType="separate"/>
      </w:r>
      <w:r>
        <w:rPr>
          <w:sz w:val="20"/>
          <w:szCs w:val="20"/>
        </w:rPr>
        <w:t>(Allison, et al., 2020; Salazar, 2010)</w:t>
      </w:r>
      <w:r>
        <w:rPr>
          <w:sz w:val="20"/>
          <w:szCs w:val="20"/>
        </w:rPr>
        <w:fldChar w:fldCharType="end"/>
      </w:r>
      <w:r>
        <w:rPr>
          <w:sz w:val="20"/>
          <w:szCs w:val="20"/>
        </w:rPr>
        <w:t xml:space="preserve">. </w:t>
      </w:r>
    </w:p>
    <w:p w14:paraId="274A0636" w14:textId="77777777" w:rsidR="00086021" w:rsidRDefault="009E19AB" w:rsidP="0055011C">
      <w:pPr>
        <w:pStyle w:val="Heading5"/>
        <w:jc w:val="both"/>
      </w:pPr>
      <w:r>
        <w:t>viii. Cross-Sector Collaboration</w:t>
      </w:r>
    </w:p>
    <w:p w14:paraId="5DDD1F28" w14:textId="77777777" w:rsidR="00086021" w:rsidRDefault="009E19AB" w:rsidP="0055011C">
      <w:pPr>
        <w:pStyle w:val="BodyText"/>
        <w:jc w:val="both"/>
        <w:rPr>
          <w:sz w:val="20"/>
          <w:szCs w:val="20"/>
        </w:rPr>
      </w:pPr>
      <w:r>
        <w:rPr>
          <w:sz w:val="20"/>
          <w:szCs w:val="20"/>
        </w:rPr>
        <w:t xml:space="preserve">Cooperation between sectors has also been shown to promote successful policy making </w:t>
      </w:r>
      <w:r>
        <w:rPr>
          <w:sz w:val="20"/>
          <w:szCs w:val="20"/>
        </w:rPr>
        <w:fldChar w:fldCharType="begin"/>
      </w:r>
      <w:r>
        <w:rPr>
          <w:sz w:val="20"/>
          <w:szCs w:val="20"/>
        </w:rPr>
        <w:instrText>CITATION Lin15 \l 1033</w:instrText>
      </w:r>
      <w:r>
        <w:rPr>
          <w:sz w:val="20"/>
          <w:szCs w:val="20"/>
        </w:rPr>
        <w:fldChar w:fldCharType="separate"/>
      </w:r>
      <w:r>
        <w:rPr>
          <w:sz w:val="20"/>
          <w:szCs w:val="20"/>
        </w:rPr>
        <w:t>(Farrer, Marinetti, Cavaco, &amp; Costongs, 2015)</w:t>
      </w:r>
      <w:r>
        <w:rPr>
          <w:sz w:val="20"/>
          <w:szCs w:val="20"/>
        </w:rPr>
        <w:fldChar w:fldCharType="end"/>
      </w:r>
      <w:r>
        <w:rPr>
          <w:sz w:val="20"/>
          <w:szCs w:val="20"/>
        </w:rPr>
        <w:t>.</w:t>
      </w:r>
    </w:p>
    <w:p w14:paraId="07011DB2" w14:textId="77777777" w:rsidR="00086021" w:rsidRDefault="009E19AB" w:rsidP="0055011C">
      <w:pPr>
        <w:pStyle w:val="Heading4"/>
        <w:jc w:val="both"/>
      </w:pPr>
      <w:r>
        <w:t xml:space="preserve">e. </w:t>
      </w:r>
      <w:bookmarkStart w:id="45" w:name="_Toc56997962"/>
      <w:r>
        <w:t>Global Best Practice</w:t>
      </w:r>
      <w:bookmarkEnd w:id="45"/>
    </w:p>
    <w:p w14:paraId="50DCF92C" w14:textId="77777777" w:rsidR="00086021" w:rsidRDefault="009E19AB" w:rsidP="0055011C">
      <w:pPr>
        <w:pStyle w:val="BodyText"/>
        <w:jc w:val="both"/>
        <w:rPr>
          <w:sz w:val="20"/>
          <w:szCs w:val="20"/>
        </w:rPr>
      </w:pPr>
      <w:r>
        <w:rPr>
          <w:sz w:val="20"/>
          <w:szCs w:val="20"/>
        </w:rPr>
        <w:t>The global best practices for successful advocacy are hinged on the following factors as posited by the Research and Policy in Development (RAPID) framework in Figure 1</w:t>
      </w:r>
      <w:r>
        <w:rPr>
          <w:sz w:val="20"/>
          <w:szCs w:val="20"/>
        </w:rPr>
        <w:fldChar w:fldCharType="begin"/>
      </w:r>
      <w:r>
        <w:rPr>
          <w:sz w:val="20"/>
          <w:szCs w:val="20"/>
        </w:rPr>
        <w:instrText>CITATION Cou05 \l 1033  \m Pol05</w:instrText>
      </w:r>
      <w:r>
        <w:rPr>
          <w:sz w:val="20"/>
          <w:szCs w:val="20"/>
        </w:rPr>
        <w:fldChar w:fldCharType="separate"/>
      </w:r>
      <w:r>
        <w:rPr>
          <w:sz w:val="20"/>
          <w:szCs w:val="20"/>
        </w:rPr>
        <w:t xml:space="preserve"> (Court, Hovland, &amp; Young, 2005; Pollard &amp; Court, 2005)</w:t>
      </w:r>
      <w:r>
        <w:rPr>
          <w:sz w:val="20"/>
          <w:szCs w:val="20"/>
        </w:rPr>
        <w:fldChar w:fldCharType="end"/>
      </w:r>
      <w:r>
        <w:rPr>
          <w:sz w:val="20"/>
          <w:szCs w:val="20"/>
        </w:rPr>
        <w:t>:</w:t>
      </w:r>
    </w:p>
    <w:p w14:paraId="48500013" w14:textId="77777777" w:rsidR="00086021" w:rsidRDefault="009E19AB" w:rsidP="0055011C">
      <w:pPr>
        <w:pStyle w:val="BodyText"/>
        <w:numPr>
          <w:ilvl w:val="0"/>
          <w:numId w:val="17"/>
        </w:numPr>
        <w:jc w:val="both"/>
        <w:rPr>
          <w:sz w:val="20"/>
          <w:szCs w:val="20"/>
        </w:rPr>
      </w:pPr>
      <w:r>
        <w:rPr>
          <w:rFonts w:cs="Franklin Gothic Heavy"/>
          <w:color w:val="000000"/>
          <w:sz w:val="20"/>
          <w:szCs w:val="20"/>
        </w:rPr>
        <w:t>Political Context: (Politics and Policy Making)- The extent to which</w:t>
      </w:r>
      <w:r>
        <w:rPr>
          <w:sz w:val="20"/>
          <w:szCs w:val="20"/>
        </w:rPr>
        <w:t xml:space="preserve"> the activities are relevant and aligned to the political context.</w:t>
      </w:r>
    </w:p>
    <w:p w14:paraId="401FB2BE" w14:textId="77777777" w:rsidR="00086021" w:rsidRDefault="009E19AB" w:rsidP="0055011C">
      <w:pPr>
        <w:pStyle w:val="BodyText"/>
        <w:numPr>
          <w:ilvl w:val="0"/>
          <w:numId w:val="17"/>
        </w:numPr>
        <w:jc w:val="both"/>
        <w:rPr>
          <w:sz w:val="20"/>
          <w:szCs w:val="20"/>
        </w:rPr>
      </w:pPr>
      <w:r>
        <w:rPr>
          <w:rFonts w:cs="Franklin Gothic Heavy"/>
          <w:color w:val="000000"/>
          <w:sz w:val="20"/>
          <w:szCs w:val="20"/>
        </w:rPr>
        <w:t>Evidence: (Research, Learning and Thinking)- The extent to which</w:t>
      </w:r>
      <w:r>
        <w:rPr>
          <w:sz w:val="20"/>
          <w:szCs w:val="20"/>
        </w:rPr>
        <w:t xml:space="preserve"> the </w:t>
      </w:r>
      <w:r>
        <w:rPr>
          <w:rFonts w:cs="Franklin Gothic Heavy"/>
          <w:sz w:val="20"/>
          <w:szCs w:val="20"/>
        </w:rPr>
        <w:t>CSO contributes to relevant knowledge management and translation.</w:t>
      </w:r>
    </w:p>
    <w:p w14:paraId="1B18F4B3" w14:textId="77777777" w:rsidR="00086021" w:rsidRDefault="009E19AB" w:rsidP="0055011C">
      <w:pPr>
        <w:pStyle w:val="BodyText"/>
        <w:numPr>
          <w:ilvl w:val="0"/>
          <w:numId w:val="17"/>
        </w:numPr>
        <w:jc w:val="both"/>
        <w:rPr>
          <w:sz w:val="20"/>
          <w:szCs w:val="20"/>
        </w:rPr>
      </w:pPr>
      <w:r>
        <w:rPr>
          <w:rFonts w:cs="Franklin Gothic Heavy"/>
          <w:color w:val="000000"/>
          <w:sz w:val="20"/>
          <w:szCs w:val="20"/>
        </w:rPr>
        <w:t>Links: (Media, Lobbying and Networking)- The extent to which</w:t>
      </w:r>
      <w:r>
        <w:rPr>
          <w:sz w:val="20"/>
          <w:szCs w:val="20"/>
        </w:rPr>
        <w:t xml:space="preserve"> </w:t>
      </w:r>
      <w:r>
        <w:rPr>
          <w:rFonts w:cs="Franklin Gothic Heavy"/>
          <w:sz w:val="20"/>
          <w:szCs w:val="20"/>
        </w:rPr>
        <w:t>the CSO leverages on stakeholder relationships for advocacy, knowledge dissemination, and strengthening relationships.</w:t>
      </w:r>
    </w:p>
    <w:p w14:paraId="27702A0E" w14:textId="463525B8" w:rsidR="00086021" w:rsidRPr="0055011C" w:rsidRDefault="009E19AB" w:rsidP="0055011C">
      <w:pPr>
        <w:pStyle w:val="BodyText"/>
        <w:numPr>
          <w:ilvl w:val="0"/>
          <w:numId w:val="17"/>
        </w:numPr>
        <w:jc w:val="both"/>
        <w:rPr>
          <w:sz w:val="20"/>
          <w:szCs w:val="20"/>
        </w:rPr>
      </w:pPr>
      <w:r>
        <w:rPr>
          <w:rFonts w:cs="Franklin Gothic Heavy"/>
          <w:color w:val="000000"/>
          <w:sz w:val="20"/>
          <w:szCs w:val="20"/>
        </w:rPr>
        <w:t>External Influences: (Socio-economic, cultural, international influences &amp; donor policies)- The extent to which</w:t>
      </w:r>
      <w:r>
        <w:rPr>
          <w:sz w:val="20"/>
          <w:szCs w:val="20"/>
        </w:rPr>
        <w:t xml:space="preserve"> </w:t>
      </w:r>
      <w:r>
        <w:rPr>
          <w:rFonts w:cs="Franklin Gothic Heavy"/>
          <w:sz w:val="20"/>
          <w:szCs w:val="20"/>
        </w:rPr>
        <w:t xml:space="preserve">the CSO maintains relevance to contextual realities relating to community cultures, resource </w:t>
      </w:r>
      <w:proofErr w:type="spellStart"/>
      <w:r w:rsidR="00C80431">
        <w:rPr>
          <w:rFonts w:cs="Franklin Gothic Heavy"/>
          <w:sz w:val="20"/>
          <w:szCs w:val="20"/>
        </w:rPr>
        <w:t>mobilisation</w:t>
      </w:r>
      <w:proofErr w:type="spellEnd"/>
      <w:r>
        <w:rPr>
          <w:rFonts w:cs="Franklin Gothic Heavy"/>
          <w:sz w:val="20"/>
          <w:szCs w:val="20"/>
        </w:rPr>
        <w:t>, global health trends and donor relations.</w:t>
      </w:r>
    </w:p>
    <w:p w14:paraId="7FF4DF1A" w14:textId="77777777" w:rsidR="0055011C" w:rsidRDefault="0055011C" w:rsidP="0055011C">
      <w:pPr>
        <w:pStyle w:val="BodyText"/>
        <w:ind w:left="720"/>
        <w:jc w:val="both"/>
        <w:rPr>
          <w:sz w:val="20"/>
          <w:szCs w:val="20"/>
        </w:rPr>
      </w:pPr>
    </w:p>
    <w:p w14:paraId="150A2950" w14:textId="4D101BD1" w:rsidR="00086021" w:rsidRDefault="009E19AB">
      <w:pPr>
        <w:pStyle w:val="Figure"/>
        <w:rPr>
          <w:b/>
          <w:bCs/>
          <w:sz w:val="20"/>
          <w:szCs w:val="20"/>
        </w:rPr>
      </w:pPr>
      <w:r w:rsidRPr="0055011C">
        <w:rPr>
          <w:b/>
          <w:bCs/>
          <w:sz w:val="20"/>
          <w:szCs w:val="20"/>
        </w:rPr>
        <w:t>Figure 1: RAPID Framework adapted to CSO Policy Influence</w:t>
      </w:r>
    </w:p>
    <w:p w14:paraId="7E07F956" w14:textId="77777777" w:rsidR="0055011C" w:rsidRPr="0055011C" w:rsidRDefault="0055011C">
      <w:pPr>
        <w:pStyle w:val="Figure"/>
        <w:rPr>
          <w:b/>
          <w:bCs/>
          <w:sz w:val="20"/>
          <w:szCs w:val="20"/>
        </w:rPr>
      </w:pPr>
    </w:p>
    <w:p w14:paraId="41DFADD1" w14:textId="77777777" w:rsidR="00086021" w:rsidRDefault="009E19AB">
      <w:pPr>
        <w:pStyle w:val="Figure"/>
      </w:pPr>
      <w:r>
        <w:rPr>
          <w:noProof/>
        </w:rPr>
        <w:drawing>
          <wp:inline distT="0" distB="0" distL="0" distR="0" wp14:anchorId="7D6ECD23" wp14:editId="1EC0BD04">
            <wp:extent cx="3905250" cy="2393950"/>
            <wp:effectExtent l="0" t="0" r="0" b="0"/>
            <wp:docPr id="4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4"/>
                    <pic:cNvPicPr>
                      <a:picLocks noChangeAspect="1" noChangeArrowheads="1"/>
                    </pic:cNvPicPr>
                  </pic:nvPicPr>
                  <pic:blipFill>
                    <a:blip r:embed="rId19"/>
                    <a:srcRect l="5320" t="26708" r="60446" b="41808"/>
                    <a:stretch>
                      <a:fillRect/>
                    </a:stretch>
                  </pic:blipFill>
                  <pic:spPr bwMode="auto">
                    <a:xfrm>
                      <a:off x="0" y="0"/>
                      <a:ext cx="3905250" cy="2393950"/>
                    </a:xfrm>
                    <a:prstGeom prst="rect">
                      <a:avLst/>
                    </a:prstGeom>
                  </pic:spPr>
                </pic:pic>
              </a:graphicData>
            </a:graphic>
          </wp:inline>
        </w:drawing>
      </w:r>
    </w:p>
    <w:p w14:paraId="3D1BF6E7" w14:textId="77777777" w:rsidR="00086021" w:rsidRDefault="009E19AB">
      <w:pPr>
        <w:pStyle w:val="BodyText"/>
        <w:rPr>
          <w:i/>
          <w:iCs/>
          <w:sz w:val="16"/>
          <w:szCs w:val="16"/>
        </w:rPr>
      </w:pPr>
      <w:r>
        <w:rPr>
          <w:i/>
          <w:iCs/>
          <w:sz w:val="16"/>
          <w:szCs w:val="16"/>
        </w:rPr>
        <w:t>Source: Pollard and Court, 2005</w:t>
      </w:r>
    </w:p>
    <w:p w14:paraId="74DBDCCC" w14:textId="77777777" w:rsidR="00086021" w:rsidRDefault="00086021">
      <w:pPr>
        <w:pStyle w:val="BodyText"/>
        <w:rPr>
          <w:i/>
          <w:iCs/>
          <w:sz w:val="16"/>
          <w:szCs w:val="16"/>
        </w:rPr>
      </w:pPr>
    </w:p>
    <w:p w14:paraId="31B278FE" w14:textId="77777777" w:rsidR="00086021" w:rsidRDefault="009E19AB" w:rsidP="0055011C">
      <w:pPr>
        <w:pStyle w:val="BodyText"/>
        <w:jc w:val="both"/>
        <w:rPr>
          <w:sz w:val="20"/>
          <w:szCs w:val="20"/>
        </w:rPr>
      </w:pPr>
      <w:r>
        <w:rPr>
          <w:rFonts w:cs="Franklin Gothic Heavy"/>
          <w:sz w:val="20"/>
          <w:szCs w:val="20"/>
        </w:rPr>
        <w:lastRenderedPageBreak/>
        <w:t>These practices often include</w:t>
      </w:r>
      <w:r>
        <w:rPr>
          <w:sz w:val="20"/>
          <w:szCs w:val="20"/>
        </w:rPr>
        <w:t xml:space="preserve"> education of stakeholders and the public to raise awareness and increase understanding; evaluations of ongoing and past policies and programs, sharing of resources and information amongst </w:t>
      </w:r>
      <w:proofErr w:type="gramStart"/>
      <w:r>
        <w:rPr>
          <w:sz w:val="20"/>
          <w:szCs w:val="20"/>
        </w:rPr>
        <w:t>CSOs  and</w:t>
      </w:r>
      <w:proofErr w:type="gramEnd"/>
      <w:r>
        <w:rPr>
          <w:sz w:val="20"/>
          <w:szCs w:val="20"/>
        </w:rPr>
        <w:t xml:space="preserve"> improved data quality and presentation </w:t>
      </w:r>
      <w:r>
        <w:rPr>
          <w:sz w:val="20"/>
          <w:szCs w:val="20"/>
        </w:rPr>
        <w:fldChar w:fldCharType="begin"/>
      </w:r>
      <w:r>
        <w:rPr>
          <w:sz w:val="20"/>
          <w:szCs w:val="20"/>
        </w:rPr>
        <w:instrText>CITATION Lin15 \l 1033  \m Sal10 \m Nut08</w:instrText>
      </w:r>
      <w:r>
        <w:rPr>
          <w:sz w:val="20"/>
          <w:szCs w:val="20"/>
        </w:rPr>
        <w:fldChar w:fldCharType="separate"/>
      </w:r>
      <w:r>
        <w:rPr>
          <w:sz w:val="20"/>
          <w:szCs w:val="20"/>
        </w:rPr>
        <w:t>(Farrer, Marinetti, Cavaco, &amp; Costongs, 2015; Salazar, 2010; Nutbeam &amp; Boxall, 2008)</w:t>
      </w:r>
      <w:r>
        <w:rPr>
          <w:sz w:val="20"/>
          <w:szCs w:val="20"/>
        </w:rPr>
        <w:fldChar w:fldCharType="end"/>
      </w:r>
      <w:r>
        <w:rPr>
          <w:sz w:val="20"/>
          <w:szCs w:val="20"/>
        </w:rPr>
        <w:t xml:space="preserve">. By being more open on the costs and benefits of implementing policies, CSOs can persuade political leaders that the policies are essential and will not waste country resources </w:t>
      </w:r>
      <w:r>
        <w:rPr>
          <w:sz w:val="20"/>
          <w:szCs w:val="20"/>
        </w:rPr>
        <w:fldChar w:fldCharType="begin"/>
      </w:r>
      <w:r>
        <w:rPr>
          <w:sz w:val="20"/>
          <w:szCs w:val="20"/>
        </w:rPr>
        <w:instrText>CITATION Lin15 \l 1033</w:instrText>
      </w:r>
      <w:r>
        <w:rPr>
          <w:sz w:val="20"/>
          <w:szCs w:val="20"/>
        </w:rPr>
        <w:fldChar w:fldCharType="separate"/>
      </w:r>
      <w:r>
        <w:rPr>
          <w:sz w:val="20"/>
          <w:szCs w:val="20"/>
        </w:rPr>
        <w:t>(Farrer, Marinetti, Cavaco, &amp; Costongs, 2015)</w:t>
      </w:r>
      <w:r>
        <w:rPr>
          <w:sz w:val="20"/>
          <w:szCs w:val="20"/>
        </w:rPr>
        <w:fldChar w:fldCharType="end"/>
      </w:r>
      <w:r>
        <w:rPr>
          <w:sz w:val="20"/>
          <w:szCs w:val="20"/>
        </w:rPr>
        <w:t xml:space="preserve">. How data and evidence is presented matters; successful advocacy has seen CSOs provide data and research in a way that fits the government’s political interests and context </w:t>
      </w:r>
      <w:r>
        <w:rPr>
          <w:sz w:val="20"/>
          <w:szCs w:val="20"/>
        </w:rPr>
        <w:fldChar w:fldCharType="begin"/>
      </w:r>
      <w:r>
        <w:rPr>
          <w:sz w:val="20"/>
          <w:szCs w:val="20"/>
        </w:rPr>
        <w:instrText>CITATION Nut08 \l 1033</w:instrText>
      </w:r>
      <w:r>
        <w:rPr>
          <w:sz w:val="20"/>
          <w:szCs w:val="20"/>
        </w:rPr>
        <w:fldChar w:fldCharType="separate"/>
      </w:r>
      <w:r>
        <w:rPr>
          <w:sz w:val="20"/>
          <w:szCs w:val="20"/>
        </w:rPr>
        <w:t>(Nutbeam &amp; Boxall, 2008)</w:t>
      </w:r>
      <w:r>
        <w:rPr>
          <w:sz w:val="20"/>
          <w:szCs w:val="20"/>
        </w:rPr>
        <w:fldChar w:fldCharType="end"/>
      </w:r>
      <w:r>
        <w:rPr>
          <w:sz w:val="20"/>
          <w:szCs w:val="20"/>
        </w:rPr>
        <w:t xml:space="preserve">. If CSOs can be known for having reliable, up-to-date information, their reputation as alternative information sources to policymakers will increase their influence </w:t>
      </w:r>
      <w:r>
        <w:rPr>
          <w:sz w:val="20"/>
          <w:szCs w:val="20"/>
        </w:rPr>
        <w:fldChar w:fldCharType="begin"/>
      </w:r>
      <w:r>
        <w:rPr>
          <w:sz w:val="20"/>
          <w:szCs w:val="20"/>
        </w:rPr>
        <w:instrText>CITATION Sal10 \l 1033</w:instrText>
      </w:r>
      <w:r>
        <w:rPr>
          <w:sz w:val="20"/>
          <w:szCs w:val="20"/>
        </w:rPr>
        <w:fldChar w:fldCharType="separate"/>
      </w:r>
      <w:r>
        <w:rPr>
          <w:sz w:val="20"/>
          <w:szCs w:val="20"/>
        </w:rPr>
        <w:t>(Salazar, 2010)</w:t>
      </w:r>
      <w:r>
        <w:rPr>
          <w:sz w:val="20"/>
          <w:szCs w:val="20"/>
        </w:rPr>
        <w:fldChar w:fldCharType="end"/>
      </w:r>
      <w:r>
        <w:rPr>
          <w:sz w:val="20"/>
          <w:szCs w:val="20"/>
        </w:rPr>
        <w:t>.</w:t>
      </w:r>
    </w:p>
    <w:p w14:paraId="26D87DEB" w14:textId="77777777" w:rsidR="00086021" w:rsidRDefault="00086021">
      <w:pPr>
        <w:pStyle w:val="BodyText"/>
        <w:rPr>
          <w:color w:val="000000"/>
          <w:sz w:val="20"/>
          <w:szCs w:val="20"/>
        </w:rPr>
      </w:pPr>
    </w:p>
    <w:p w14:paraId="5A636B73" w14:textId="77777777" w:rsidR="00086021" w:rsidRDefault="00086021">
      <w:pPr>
        <w:pStyle w:val="BodyText"/>
        <w:rPr>
          <w:color w:val="000000"/>
          <w:sz w:val="20"/>
          <w:szCs w:val="20"/>
        </w:rPr>
      </w:pPr>
    </w:p>
    <w:p w14:paraId="331DF4C4" w14:textId="77777777" w:rsidR="00086021" w:rsidRDefault="00086021">
      <w:pPr>
        <w:pStyle w:val="BodyText"/>
        <w:rPr>
          <w:color w:val="000000"/>
          <w:sz w:val="20"/>
          <w:szCs w:val="20"/>
        </w:rPr>
      </w:pPr>
    </w:p>
    <w:p w14:paraId="1F43E2D0" w14:textId="77777777" w:rsidR="00086021" w:rsidRDefault="00086021">
      <w:pPr>
        <w:pStyle w:val="BodyText"/>
        <w:rPr>
          <w:color w:val="000000"/>
          <w:sz w:val="20"/>
          <w:szCs w:val="20"/>
        </w:rPr>
      </w:pPr>
    </w:p>
    <w:p w14:paraId="0A6116B7" w14:textId="77777777" w:rsidR="00086021" w:rsidRDefault="00086021">
      <w:pPr>
        <w:pStyle w:val="BodyText"/>
        <w:rPr>
          <w:color w:val="000000"/>
          <w:sz w:val="20"/>
          <w:szCs w:val="20"/>
        </w:rPr>
      </w:pPr>
    </w:p>
    <w:p w14:paraId="49B11317" w14:textId="77777777" w:rsidR="00086021" w:rsidRDefault="00086021">
      <w:pPr>
        <w:pStyle w:val="BodyText"/>
        <w:rPr>
          <w:color w:val="000000"/>
          <w:sz w:val="20"/>
          <w:szCs w:val="20"/>
        </w:rPr>
      </w:pPr>
    </w:p>
    <w:p w14:paraId="2936446E" w14:textId="77777777" w:rsidR="00086021" w:rsidRDefault="00086021">
      <w:pPr>
        <w:pStyle w:val="BodyText"/>
        <w:rPr>
          <w:color w:val="000000"/>
          <w:sz w:val="20"/>
          <w:szCs w:val="20"/>
        </w:rPr>
      </w:pPr>
    </w:p>
    <w:p w14:paraId="21EBF918" w14:textId="77777777" w:rsidR="00086021" w:rsidRDefault="00086021">
      <w:pPr>
        <w:pStyle w:val="BodyText"/>
        <w:rPr>
          <w:color w:val="000000"/>
          <w:sz w:val="20"/>
          <w:szCs w:val="20"/>
        </w:rPr>
      </w:pPr>
    </w:p>
    <w:p w14:paraId="74BFCBFB" w14:textId="77777777" w:rsidR="00086021" w:rsidRDefault="00086021">
      <w:pPr>
        <w:pStyle w:val="BodyText"/>
        <w:rPr>
          <w:color w:val="000000"/>
          <w:sz w:val="20"/>
          <w:szCs w:val="20"/>
        </w:rPr>
      </w:pPr>
    </w:p>
    <w:p w14:paraId="7D015A36" w14:textId="77777777" w:rsidR="00086021" w:rsidRDefault="00086021">
      <w:pPr>
        <w:pStyle w:val="BodyText"/>
        <w:rPr>
          <w:color w:val="000000"/>
          <w:sz w:val="20"/>
          <w:szCs w:val="20"/>
        </w:rPr>
      </w:pPr>
    </w:p>
    <w:p w14:paraId="37EEB78A" w14:textId="77777777" w:rsidR="00086021" w:rsidRDefault="00086021"/>
    <w:p w14:paraId="5C03EE97" w14:textId="77777777" w:rsidR="00086021" w:rsidRDefault="00086021"/>
    <w:p w14:paraId="1DE4FF4F" w14:textId="77777777" w:rsidR="00086021" w:rsidRDefault="00086021"/>
    <w:p w14:paraId="7523351D" w14:textId="77777777" w:rsidR="00086021" w:rsidRDefault="00086021"/>
    <w:p w14:paraId="62B99B4F" w14:textId="77777777" w:rsidR="00086021" w:rsidRDefault="00086021"/>
    <w:p w14:paraId="0588169F" w14:textId="77777777" w:rsidR="00086021" w:rsidRDefault="00086021"/>
    <w:p w14:paraId="50D87AF9" w14:textId="77777777" w:rsidR="00086021" w:rsidRDefault="00086021"/>
    <w:p w14:paraId="1BF2788D" w14:textId="77777777" w:rsidR="00086021" w:rsidRDefault="00086021"/>
    <w:p w14:paraId="400787BF" w14:textId="77777777" w:rsidR="00086021" w:rsidRDefault="00086021"/>
    <w:p w14:paraId="7BEF9202" w14:textId="77777777" w:rsidR="00086021" w:rsidRDefault="00086021"/>
    <w:p w14:paraId="30C15EF3" w14:textId="77777777" w:rsidR="00086021" w:rsidRDefault="00086021"/>
    <w:p w14:paraId="05644C73" w14:textId="77777777" w:rsidR="00086021" w:rsidRDefault="00086021"/>
    <w:p w14:paraId="73D585C8" w14:textId="77777777" w:rsidR="00086021" w:rsidRDefault="00086021"/>
    <w:p w14:paraId="617A37B9" w14:textId="77777777" w:rsidR="00086021" w:rsidRDefault="00086021"/>
    <w:p w14:paraId="28B8ADF8" w14:textId="77777777" w:rsidR="00086021" w:rsidRDefault="00086021"/>
    <w:p w14:paraId="4FF6BCF0" w14:textId="77777777" w:rsidR="00086021" w:rsidRDefault="00086021"/>
    <w:p w14:paraId="47BB25B8" w14:textId="77777777" w:rsidR="00086021" w:rsidRDefault="00086021"/>
    <w:p w14:paraId="71A2D836" w14:textId="77777777" w:rsidR="00086021" w:rsidRDefault="00086021"/>
    <w:p w14:paraId="0F4D7DB1" w14:textId="77777777" w:rsidR="00086021" w:rsidRDefault="00086021"/>
    <w:p w14:paraId="2ADB9C56" w14:textId="77777777" w:rsidR="00086021" w:rsidRDefault="00086021"/>
    <w:p w14:paraId="46094916" w14:textId="77777777" w:rsidR="00086021" w:rsidRDefault="00086021"/>
    <w:p w14:paraId="6D45B385" w14:textId="77777777" w:rsidR="00086021" w:rsidRDefault="00086021"/>
    <w:p w14:paraId="2604F00D" w14:textId="77777777" w:rsidR="00086021" w:rsidRDefault="00086021"/>
    <w:p w14:paraId="2679EA95" w14:textId="77777777" w:rsidR="00086021" w:rsidRDefault="00086021"/>
    <w:p w14:paraId="2E291106" w14:textId="77777777" w:rsidR="00086021" w:rsidRDefault="00086021"/>
    <w:p w14:paraId="787EE42D" w14:textId="77777777" w:rsidR="00086021" w:rsidRDefault="00086021"/>
    <w:p w14:paraId="370479C0" w14:textId="77777777" w:rsidR="00086021" w:rsidRDefault="00086021"/>
    <w:p w14:paraId="41BF87B4" w14:textId="77777777" w:rsidR="00086021" w:rsidRDefault="00086021"/>
    <w:p w14:paraId="6BC5CCC5" w14:textId="77777777" w:rsidR="00086021" w:rsidRDefault="00086021"/>
    <w:p w14:paraId="1E4D8D3E" w14:textId="77777777" w:rsidR="00086021" w:rsidRDefault="00086021"/>
    <w:p w14:paraId="203037C0" w14:textId="77777777" w:rsidR="00086021" w:rsidRDefault="00086021"/>
    <w:p w14:paraId="74D78B60" w14:textId="77777777" w:rsidR="00086021" w:rsidRDefault="00086021"/>
    <w:p w14:paraId="0C0ADEC9" w14:textId="77777777" w:rsidR="00086021" w:rsidRDefault="00086021"/>
    <w:p w14:paraId="181170B5" w14:textId="77777777" w:rsidR="00086021" w:rsidRDefault="00086021"/>
    <w:p w14:paraId="701D7F41" w14:textId="77777777" w:rsidR="00086021" w:rsidRDefault="00086021"/>
    <w:p w14:paraId="36A7E6F6" w14:textId="77777777" w:rsidR="00086021" w:rsidRDefault="009E19AB">
      <w:pPr>
        <w:pStyle w:val="Heading2"/>
      </w:pPr>
      <w:bookmarkStart w:id="46" w:name="_Toc56997963"/>
      <w:r>
        <w:lastRenderedPageBreak/>
        <w:t>5. Recommendations</w:t>
      </w:r>
      <w:bookmarkEnd w:id="46"/>
    </w:p>
    <w:p w14:paraId="62543911" w14:textId="77777777" w:rsidR="00086021" w:rsidRDefault="00086021"/>
    <w:tbl>
      <w:tblPr>
        <w:tblW w:w="9715" w:type="dxa"/>
        <w:tblInd w:w="108" w:type="dxa"/>
        <w:tblLook w:val="04A0" w:firstRow="1" w:lastRow="0" w:firstColumn="1" w:lastColumn="0" w:noHBand="0" w:noVBand="1"/>
      </w:tblPr>
      <w:tblGrid>
        <w:gridCol w:w="7507"/>
        <w:gridCol w:w="2208"/>
      </w:tblGrid>
      <w:tr w:rsidR="00086021" w14:paraId="08483CCA" w14:textId="77777777">
        <w:trPr>
          <w:trHeight w:val="300"/>
        </w:trPr>
        <w:tc>
          <w:tcPr>
            <w:tcW w:w="7507" w:type="dxa"/>
            <w:tcBorders>
              <w:top w:val="single" w:sz="4" w:space="0" w:color="297FD5"/>
              <w:left w:val="single" w:sz="4" w:space="0" w:color="297FD5"/>
              <w:bottom w:val="single" w:sz="4" w:space="0" w:color="297FD5"/>
              <w:right w:val="single" w:sz="4" w:space="0" w:color="297FD5"/>
            </w:tcBorders>
            <w:shd w:val="clear" w:color="auto" w:fill="C9211E"/>
          </w:tcPr>
          <w:p w14:paraId="541E28E0" w14:textId="77777777" w:rsidR="00086021" w:rsidRDefault="009E19AB">
            <w:pPr>
              <w:pStyle w:val="TableContents"/>
              <w:rPr>
                <w:color w:val="FEFEFE"/>
                <w:szCs w:val="18"/>
              </w:rPr>
            </w:pPr>
            <w:r>
              <w:rPr>
                <w:color w:val="FEFEFE"/>
                <w:szCs w:val="18"/>
              </w:rPr>
              <w:t>Recommendation</w:t>
            </w:r>
          </w:p>
        </w:tc>
        <w:tc>
          <w:tcPr>
            <w:tcW w:w="2208" w:type="dxa"/>
            <w:tcBorders>
              <w:top w:val="single" w:sz="4" w:space="0" w:color="297FD5"/>
              <w:left w:val="single" w:sz="4" w:space="0" w:color="297FD5"/>
              <w:bottom w:val="single" w:sz="4" w:space="0" w:color="297FD5"/>
              <w:right w:val="single" w:sz="4" w:space="0" w:color="297FD5"/>
            </w:tcBorders>
            <w:shd w:val="clear" w:color="auto" w:fill="C9211E"/>
          </w:tcPr>
          <w:p w14:paraId="24130234" w14:textId="77777777" w:rsidR="00086021" w:rsidRDefault="009E19AB">
            <w:pPr>
              <w:pStyle w:val="TableContents"/>
              <w:rPr>
                <w:szCs w:val="18"/>
              </w:rPr>
            </w:pPr>
            <w:r>
              <w:rPr>
                <w:szCs w:val="18"/>
              </w:rPr>
              <w:t>Responsibility</w:t>
            </w:r>
          </w:p>
        </w:tc>
      </w:tr>
      <w:tr w:rsidR="00086021" w14:paraId="0BB04167" w14:textId="77777777">
        <w:trPr>
          <w:trHeight w:val="300"/>
        </w:trPr>
        <w:tc>
          <w:tcPr>
            <w:tcW w:w="7507" w:type="dxa"/>
            <w:tcBorders>
              <w:top w:val="single" w:sz="4" w:space="0" w:color="7EB1E6"/>
              <w:left w:val="single" w:sz="4" w:space="0" w:color="7EB1E6"/>
              <w:bottom w:val="single" w:sz="4" w:space="0" w:color="7EB1E6"/>
              <w:right w:val="single" w:sz="4" w:space="0" w:color="7EB1E6"/>
            </w:tcBorders>
            <w:shd w:val="clear" w:color="auto" w:fill="8ACC8E"/>
          </w:tcPr>
          <w:p w14:paraId="5650D830" w14:textId="77777777" w:rsidR="00086021" w:rsidRDefault="009E19AB">
            <w:pPr>
              <w:pStyle w:val="TableContents"/>
              <w:rPr>
                <w:szCs w:val="18"/>
              </w:rPr>
            </w:pPr>
            <w:r>
              <w:rPr>
                <w:szCs w:val="18"/>
              </w:rPr>
              <w:t>Revenue Raising</w:t>
            </w:r>
          </w:p>
        </w:tc>
        <w:tc>
          <w:tcPr>
            <w:tcW w:w="2208" w:type="dxa"/>
            <w:tcBorders>
              <w:top w:val="single" w:sz="4" w:space="0" w:color="7EB1E6"/>
              <w:left w:val="single" w:sz="4" w:space="0" w:color="7EB1E6"/>
              <w:bottom w:val="single" w:sz="4" w:space="0" w:color="7EB1E6"/>
              <w:right w:val="single" w:sz="4" w:space="0" w:color="7EB1E6"/>
            </w:tcBorders>
            <w:shd w:val="clear" w:color="auto" w:fill="8ACC8E"/>
          </w:tcPr>
          <w:p w14:paraId="76829C3A" w14:textId="77777777" w:rsidR="00086021" w:rsidRDefault="00086021">
            <w:pPr>
              <w:pStyle w:val="TableContents"/>
              <w:rPr>
                <w:szCs w:val="18"/>
              </w:rPr>
            </w:pPr>
          </w:p>
        </w:tc>
      </w:tr>
      <w:tr w:rsidR="00086021" w14:paraId="25919C6E" w14:textId="77777777">
        <w:trPr>
          <w:trHeight w:val="560"/>
        </w:trPr>
        <w:tc>
          <w:tcPr>
            <w:tcW w:w="7507" w:type="dxa"/>
            <w:tcBorders>
              <w:top w:val="single" w:sz="4" w:space="0" w:color="7EB1E6"/>
              <w:left w:val="single" w:sz="4" w:space="0" w:color="7EB1E6"/>
              <w:bottom w:val="single" w:sz="4" w:space="0" w:color="7EB1E6"/>
              <w:right w:val="single" w:sz="4" w:space="0" w:color="7EB1E6"/>
            </w:tcBorders>
          </w:tcPr>
          <w:p w14:paraId="03C9C84A" w14:textId="77777777" w:rsidR="00086021" w:rsidRDefault="009E19AB">
            <w:pPr>
              <w:pStyle w:val="TableContents"/>
              <w:numPr>
                <w:ilvl w:val="0"/>
                <w:numId w:val="7"/>
              </w:numPr>
              <w:rPr>
                <w:szCs w:val="18"/>
              </w:rPr>
            </w:pPr>
            <w:r>
              <w:rPr>
                <w:szCs w:val="18"/>
              </w:rPr>
              <w:t>Strengthen tax administration through reforms that ensure equity and efficiency with a view to increasing tax revenues.</w:t>
            </w:r>
          </w:p>
        </w:tc>
        <w:tc>
          <w:tcPr>
            <w:tcW w:w="2208" w:type="dxa"/>
            <w:tcBorders>
              <w:top w:val="single" w:sz="4" w:space="0" w:color="7EB1E6"/>
              <w:left w:val="single" w:sz="4" w:space="0" w:color="7EB1E6"/>
              <w:bottom w:val="single" w:sz="4" w:space="0" w:color="7EB1E6"/>
              <w:right w:val="single" w:sz="4" w:space="0" w:color="7EB1E6"/>
            </w:tcBorders>
          </w:tcPr>
          <w:p w14:paraId="6F157760" w14:textId="77777777" w:rsidR="00086021" w:rsidRDefault="009E19AB">
            <w:pPr>
              <w:pStyle w:val="TableContents"/>
              <w:rPr>
                <w:szCs w:val="18"/>
              </w:rPr>
            </w:pPr>
            <w:r>
              <w:rPr>
                <w:szCs w:val="18"/>
              </w:rPr>
              <w:t>Government, Donors, CSO</w:t>
            </w:r>
          </w:p>
        </w:tc>
      </w:tr>
      <w:tr w:rsidR="00086021" w14:paraId="35B8776C" w14:textId="77777777">
        <w:trPr>
          <w:trHeight w:val="840"/>
        </w:trPr>
        <w:tc>
          <w:tcPr>
            <w:tcW w:w="7507" w:type="dxa"/>
            <w:tcBorders>
              <w:top w:val="single" w:sz="4" w:space="0" w:color="7EB1E6"/>
              <w:left w:val="single" w:sz="4" w:space="0" w:color="7EB1E6"/>
              <w:bottom w:val="single" w:sz="4" w:space="0" w:color="7EB1E6"/>
              <w:right w:val="single" w:sz="4" w:space="0" w:color="7EB1E6"/>
            </w:tcBorders>
            <w:shd w:val="clear" w:color="auto" w:fill="8ACC8E"/>
          </w:tcPr>
          <w:p w14:paraId="5E2AF9DB" w14:textId="77777777" w:rsidR="00086021" w:rsidRDefault="009E19AB">
            <w:pPr>
              <w:pStyle w:val="TableContents"/>
              <w:numPr>
                <w:ilvl w:val="0"/>
                <w:numId w:val="7"/>
              </w:numPr>
              <w:rPr>
                <w:szCs w:val="18"/>
              </w:rPr>
            </w:pPr>
            <w:r>
              <w:rPr>
                <w:szCs w:val="18"/>
              </w:rPr>
              <w:t>Prudence in public debt and expenditure management in the quest to expand the resources available for heath (fiscal space for health).</w:t>
            </w:r>
          </w:p>
        </w:tc>
        <w:tc>
          <w:tcPr>
            <w:tcW w:w="2208" w:type="dxa"/>
            <w:tcBorders>
              <w:top w:val="single" w:sz="4" w:space="0" w:color="7EB1E6"/>
              <w:left w:val="single" w:sz="4" w:space="0" w:color="7EB1E6"/>
              <w:bottom w:val="single" w:sz="4" w:space="0" w:color="7EB1E6"/>
              <w:right w:val="single" w:sz="4" w:space="0" w:color="7EB1E6"/>
            </w:tcBorders>
            <w:shd w:val="clear" w:color="auto" w:fill="8ACC8E"/>
          </w:tcPr>
          <w:p w14:paraId="31C034DB" w14:textId="77777777" w:rsidR="00086021" w:rsidRDefault="009E19AB">
            <w:pPr>
              <w:pStyle w:val="TableContents"/>
              <w:rPr>
                <w:szCs w:val="18"/>
              </w:rPr>
            </w:pPr>
            <w:r>
              <w:rPr>
                <w:szCs w:val="18"/>
              </w:rPr>
              <w:t>Government, Donors, CSO</w:t>
            </w:r>
          </w:p>
        </w:tc>
      </w:tr>
      <w:tr w:rsidR="00086021" w14:paraId="6C7D77B5" w14:textId="77777777">
        <w:trPr>
          <w:trHeight w:val="560"/>
        </w:trPr>
        <w:tc>
          <w:tcPr>
            <w:tcW w:w="7507" w:type="dxa"/>
            <w:tcBorders>
              <w:top w:val="single" w:sz="4" w:space="0" w:color="7EB1E6"/>
              <w:left w:val="single" w:sz="4" w:space="0" w:color="7EB1E6"/>
              <w:bottom w:val="single" w:sz="4" w:space="0" w:color="7EB1E6"/>
              <w:right w:val="single" w:sz="4" w:space="0" w:color="7EB1E6"/>
            </w:tcBorders>
          </w:tcPr>
          <w:p w14:paraId="00CA371D" w14:textId="77777777" w:rsidR="00086021" w:rsidRDefault="009E19AB">
            <w:pPr>
              <w:pStyle w:val="TableContents"/>
              <w:numPr>
                <w:ilvl w:val="0"/>
                <w:numId w:val="7"/>
              </w:numPr>
              <w:rPr>
                <w:szCs w:val="18"/>
              </w:rPr>
            </w:pPr>
            <w:r>
              <w:rPr>
                <w:szCs w:val="18"/>
              </w:rPr>
              <w:t>Ensure financial protection of the vulnerable in society including KPs and AGYWs through government financing of healthcare.</w:t>
            </w:r>
          </w:p>
        </w:tc>
        <w:tc>
          <w:tcPr>
            <w:tcW w:w="2208" w:type="dxa"/>
            <w:tcBorders>
              <w:top w:val="single" w:sz="4" w:space="0" w:color="7EB1E6"/>
              <w:left w:val="single" w:sz="4" w:space="0" w:color="7EB1E6"/>
              <w:bottom w:val="single" w:sz="4" w:space="0" w:color="7EB1E6"/>
              <w:right w:val="single" w:sz="4" w:space="0" w:color="7EB1E6"/>
            </w:tcBorders>
          </w:tcPr>
          <w:p w14:paraId="68B114F2" w14:textId="77777777" w:rsidR="00086021" w:rsidRDefault="009E19AB">
            <w:pPr>
              <w:pStyle w:val="TableContents"/>
              <w:rPr>
                <w:szCs w:val="18"/>
              </w:rPr>
            </w:pPr>
            <w:r>
              <w:rPr>
                <w:szCs w:val="18"/>
              </w:rPr>
              <w:t>Government, Donors, CSO</w:t>
            </w:r>
          </w:p>
        </w:tc>
      </w:tr>
      <w:tr w:rsidR="00086021" w14:paraId="357F010D" w14:textId="77777777">
        <w:trPr>
          <w:trHeight w:val="560"/>
        </w:trPr>
        <w:tc>
          <w:tcPr>
            <w:tcW w:w="7507" w:type="dxa"/>
            <w:tcBorders>
              <w:top w:val="single" w:sz="4" w:space="0" w:color="7EB1E6"/>
              <w:left w:val="single" w:sz="4" w:space="0" w:color="7EB1E6"/>
              <w:bottom w:val="single" w:sz="4" w:space="0" w:color="7EB1E6"/>
              <w:right w:val="single" w:sz="4" w:space="0" w:color="7EB1E6"/>
            </w:tcBorders>
            <w:shd w:val="clear" w:color="auto" w:fill="8ACC8E"/>
          </w:tcPr>
          <w:p w14:paraId="2466405C" w14:textId="77777777" w:rsidR="00086021" w:rsidRDefault="009E19AB">
            <w:pPr>
              <w:pStyle w:val="TableContents"/>
              <w:numPr>
                <w:ilvl w:val="0"/>
                <w:numId w:val="7"/>
              </w:numPr>
              <w:rPr>
                <w:szCs w:val="18"/>
              </w:rPr>
            </w:pPr>
            <w:r>
              <w:rPr>
                <w:szCs w:val="18"/>
              </w:rPr>
              <w:t>Increase allocations and ring fencing of funds for health by government at both national and county level.</w:t>
            </w:r>
          </w:p>
        </w:tc>
        <w:tc>
          <w:tcPr>
            <w:tcW w:w="2208" w:type="dxa"/>
            <w:tcBorders>
              <w:top w:val="single" w:sz="4" w:space="0" w:color="7EB1E6"/>
              <w:left w:val="single" w:sz="4" w:space="0" w:color="7EB1E6"/>
              <w:bottom w:val="single" w:sz="4" w:space="0" w:color="7EB1E6"/>
              <w:right w:val="single" w:sz="4" w:space="0" w:color="7EB1E6"/>
            </w:tcBorders>
            <w:shd w:val="clear" w:color="auto" w:fill="8ACC8E"/>
          </w:tcPr>
          <w:p w14:paraId="01BFC897" w14:textId="77777777" w:rsidR="00086021" w:rsidRDefault="009E19AB">
            <w:pPr>
              <w:pStyle w:val="TableContents"/>
              <w:rPr>
                <w:szCs w:val="18"/>
              </w:rPr>
            </w:pPr>
            <w:r>
              <w:rPr>
                <w:szCs w:val="18"/>
              </w:rPr>
              <w:t>Government, Donors, CSO</w:t>
            </w:r>
          </w:p>
        </w:tc>
      </w:tr>
      <w:tr w:rsidR="00086021" w14:paraId="6013C654" w14:textId="77777777">
        <w:trPr>
          <w:trHeight w:val="560"/>
        </w:trPr>
        <w:tc>
          <w:tcPr>
            <w:tcW w:w="7507" w:type="dxa"/>
            <w:tcBorders>
              <w:top w:val="single" w:sz="4" w:space="0" w:color="7EB1E6"/>
              <w:left w:val="single" w:sz="4" w:space="0" w:color="7EB1E6"/>
              <w:bottom w:val="single" w:sz="4" w:space="0" w:color="7EB1E6"/>
              <w:right w:val="single" w:sz="4" w:space="0" w:color="7EB1E6"/>
            </w:tcBorders>
          </w:tcPr>
          <w:p w14:paraId="64583267" w14:textId="77777777" w:rsidR="00086021" w:rsidRDefault="009E19AB">
            <w:pPr>
              <w:pStyle w:val="TableContents"/>
              <w:numPr>
                <w:ilvl w:val="0"/>
                <w:numId w:val="7"/>
              </w:numPr>
              <w:rPr>
                <w:szCs w:val="18"/>
              </w:rPr>
            </w:pPr>
            <w:r>
              <w:rPr>
                <w:szCs w:val="18"/>
              </w:rPr>
              <w:t>Increase government funding and ownership of HIV, KP and AGYW interventions</w:t>
            </w:r>
          </w:p>
        </w:tc>
        <w:tc>
          <w:tcPr>
            <w:tcW w:w="2208" w:type="dxa"/>
            <w:tcBorders>
              <w:top w:val="single" w:sz="4" w:space="0" w:color="7EB1E6"/>
              <w:left w:val="single" w:sz="4" w:space="0" w:color="7EB1E6"/>
              <w:bottom w:val="single" w:sz="4" w:space="0" w:color="7EB1E6"/>
              <w:right w:val="single" w:sz="4" w:space="0" w:color="7EB1E6"/>
            </w:tcBorders>
          </w:tcPr>
          <w:p w14:paraId="269292BB" w14:textId="77777777" w:rsidR="00086021" w:rsidRDefault="009E19AB">
            <w:pPr>
              <w:pStyle w:val="TableContents"/>
              <w:rPr>
                <w:szCs w:val="18"/>
              </w:rPr>
            </w:pPr>
            <w:r>
              <w:rPr>
                <w:szCs w:val="18"/>
              </w:rPr>
              <w:t>Government, Donors, CSO</w:t>
            </w:r>
          </w:p>
        </w:tc>
      </w:tr>
      <w:tr w:rsidR="00086021" w14:paraId="23654C90" w14:textId="77777777">
        <w:trPr>
          <w:trHeight w:val="840"/>
        </w:trPr>
        <w:tc>
          <w:tcPr>
            <w:tcW w:w="7507" w:type="dxa"/>
            <w:tcBorders>
              <w:top w:val="single" w:sz="4" w:space="0" w:color="7EB1E6"/>
              <w:left w:val="single" w:sz="4" w:space="0" w:color="7EB1E6"/>
              <w:bottom w:val="single" w:sz="4" w:space="0" w:color="7EB1E6"/>
              <w:right w:val="single" w:sz="4" w:space="0" w:color="7EB1E6"/>
            </w:tcBorders>
            <w:shd w:val="clear" w:color="auto" w:fill="8ACC8E"/>
          </w:tcPr>
          <w:p w14:paraId="71AC7FC5" w14:textId="77777777" w:rsidR="00086021" w:rsidRDefault="009E19AB">
            <w:pPr>
              <w:pStyle w:val="TableContents"/>
              <w:numPr>
                <w:ilvl w:val="0"/>
                <w:numId w:val="7"/>
              </w:numPr>
              <w:rPr>
                <w:szCs w:val="18"/>
              </w:rPr>
            </w:pPr>
            <w:r>
              <w:rPr>
                <w:szCs w:val="18"/>
              </w:rPr>
              <w:t>Facilitate inclusion of target interventions for KPs and AGYW within the health system across the levels of government and the sectors to reduce fragmentation</w:t>
            </w:r>
          </w:p>
        </w:tc>
        <w:tc>
          <w:tcPr>
            <w:tcW w:w="2208" w:type="dxa"/>
            <w:tcBorders>
              <w:top w:val="single" w:sz="4" w:space="0" w:color="7EB1E6"/>
              <w:left w:val="single" w:sz="4" w:space="0" w:color="7EB1E6"/>
              <w:bottom w:val="single" w:sz="4" w:space="0" w:color="7EB1E6"/>
              <w:right w:val="single" w:sz="4" w:space="0" w:color="7EB1E6"/>
            </w:tcBorders>
            <w:shd w:val="clear" w:color="auto" w:fill="8ACC8E"/>
          </w:tcPr>
          <w:p w14:paraId="01AEA10E" w14:textId="77777777" w:rsidR="00086021" w:rsidRDefault="009E19AB">
            <w:pPr>
              <w:pStyle w:val="TableContents"/>
              <w:rPr>
                <w:szCs w:val="18"/>
              </w:rPr>
            </w:pPr>
            <w:r>
              <w:rPr>
                <w:szCs w:val="18"/>
              </w:rPr>
              <w:t>Government, Donors, CSO</w:t>
            </w:r>
          </w:p>
        </w:tc>
      </w:tr>
      <w:tr w:rsidR="00086021" w14:paraId="11AF2BD3" w14:textId="77777777">
        <w:trPr>
          <w:trHeight w:val="560"/>
        </w:trPr>
        <w:tc>
          <w:tcPr>
            <w:tcW w:w="7507" w:type="dxa"/>
            <w:tcBorders>
              <w:top w:val="single" w:sz="4" w:space="0" w:color="7EB1E6"/>
              <w:left w:val="single" w:sz="4" w:space="0" w:color="7EB1E6"/>
              <w:bottom w:val="single" w:sz="4" w:space="0" w:color="7EB1E6"/>
              <w:right w:val="single" w:sz="4" w:space="0" w:color="7EB1E6"/>
            </w:tcBorders>
          </w:tcPr>
          <w:p w14:paraId="0036E5D1" w14:textId="77777777" w:rsidR="00086021" w:rsidRDefault="009E19AB">
            <w:pPr>
              <w:pStyle w:val="TableContents"/>
              <w:numPr>
                <w:ilvl w:val="0"/>
                <w:numId w:val="7"/>
              </w:numPr>
              <w:rPr>
                <w:szCs w:val="18"/>
              </w:rPr>
            </w:pPr>
            <w:r>
              <w:rPr>
                <w:szCs w:val="18"/>
              </w:rPr>
              <w:t>Strengthen data management, data integration and knowledge management at all levels</w:t>
            </w:r>
          </w:p>
        </w:tc>
        <w:tc>
          <w:tcPr>
            <w:tcW w:w="2208" w:type="dxa"/>
            <w:tcBorders>
              <w:top w:val="single" w:sz="4" w:space="0" w:color="7EB1E6"/>
              <w:left w:val="single" w:sz="4" w:space="0" w:color="7EB1E6"/>
              <w:bottom w:val="single" w:sz="4" w:space="0" w:color="7EB1E6"/>
              <w:right w:val="single" w:sz="4" w:space="0" w:color="7EB1E6"/>
            </w:tcBorders>
          </w:tcPr>
          <w:p w14:paraId="551B4191" w14:textId="77777777" w:rsidR="00086021" w:rsidRDefault="009E19AB">
            <w:pPr>
              <w:pStyle w:val="TableContents"/>
              <w:rPr>
                <w:szCs w:val="18"/>
              </w:rPr>
            </w:pPr>
            <w:r>
              <w:rPr>
                <w:szCs w:val="18"/>
              </w:rPr>
              <w:t>Government, Donors, CSO</w:t>
            </w:r>
          </w:p>
        </w:tc>
      </w:tr>
      <w:tr w:rsidR="00086021" w14:paraId="473BEEC6" w14:textId="77777777">
        <w:trPr>
          <w:trHeight w:val="840"/>
        </w:trPr>
        <w:tc>
          <w:tcPr>
            <w:tcW w:w="7507" w:type="dxa"/>
            <w:tcBorders>
              <w:top w:val="single" w:sz="4" w:space="0" w:color="7EB1E6"/>
              <w:left w:val="single" w:sz="4" w:space="0" w:color="7EB1E6"/>
              <w:bottom w:val="single" w:sz="4" w:space="0" w:color="7EB1E6"/>
              <w:right w:val="single" w:sz="4" w:space="0" w:color="7EB1E6"/>
            </w:tcBorders>
            <w:shd w:val="clear" w:color="auto" w:fill="8ACC8E"/>
          </w:tcPr>
          <w:p w14:paraId="0830FED8" w14:textId="77777777" w:rsidR="00086021" w:rsidRDefault="009E19AB">
            <w:pPr>
              <w:pStyle w:val="TableContents"/>
              <w:numPr>
                <w:ilvl w:val="0"/>
                <w:numId w:val="7"/>
              </w:numPr>
              <w:rPr>
                <w:szCs w:val="18"/>
              </w:rPr>
            </w:pPr>
            <w:r>
              <w:rPr>
                <w:szCs w:val="18"/>
              </w:rPr>
              <w:t>Facilitate the integration of funding and implementation of KP and AGYW programs within the health system at both National and County Government levels</w:t>
            </w:r>
          </w:p>
        </w:tc>
        <w:tc>
          <w:tcPr>
            <w:tcW w:w="2208" w:type="dxa"/>
            <w:tcBorders>
              <w:top w:val="single" w:sz="4" w:space="0" w:color="7EB1E6"/>
              <w:left w:val="single" w:sz="4" w:space="0" w:color="7EB1E6"/>
              <w:bottom w:val="single" w:sz="4" w:space="0" w:color="7EB1E6"/>
              <w:right w:val="single" w:sz="4" w:space="0" w:color="7EB1E6"/>
            </w:tcBorders>
            <w:shd w:val="clear" w:color="auto" w:fill="8ACC8E"/>
          </w:tcPr>
          <w:p w14:paraId="5AAD58FE" w14:textId="77777777" w:rsidR="00086021" w:rsidRDefault="009E19AB">
            <w:pPr>
              <w:pStyle w:val="TableContents"/>
              <w:rPr>
                <w:szCs w:val="18"/>
              </w:rPr>
            </w:pPr>
            <w:r>
              <w:rPr>
                <w:szCs w:val="18"/>
              </w:rPr>
              <w:t>Government, Donors, CSO</w:t>
            </w:r>
          </w:p>
        </w:tc>
      </w:tr>
      <w:tr w:rsidR="00086021" w14:paraId="0AE7662B" w14:textId="77777777">
        <w:trPr>
          <w:trHeight w:val="392"/>
        </w:trPr>
        <w:tc>
          <w:tcPr>
            <w:tcW w:w="9715" w:type="dxa"/>
            <w:gridSpan w:val="2"/>
            <w:tcBorders>
              <w:top w:val="single" w:sz="4" w:space="0" w:color="7EB1E6"/>
              <w:left w:val="single" w:sz="4" w:space="0" w:color="7EB1E6"/>
              <w:bottom w:val="single" w:sz="4" w:space="0" w:color="7EB1E6"/>
              <w:right w:val="single" w:sz="4" w:space="0" w:color="7EB1E6"/>
            </w:tcBorders>
          </w:tcPr>
          <w:p w14:paraId="61440E59" w14:textId="77777777" w:rsidR="00086021" w:rsidRDefault="009E19AB">
            <w:pPr>
              <w:pStyle w:val="TableContents"/>
              <w:rPr>
                <w:szCs w:val="18"/>
              </w:rPr>
            </w:pPr>
            <w:r>
              <w:rPr>
                <w:szCs w:val="18"/>
              </w:rPr>
              <w:t>Revenue Allocation &amp; Budgeting</w:t>
            </w:r>
          </w:p>
        </w:tc>
      </w:tr>
      <w:tr w:rsidR="00086021" w14:paraId="2211C10B" w14:textId="77777777">
        <w:trPr>
          <w:trHeight w:val="560"/>
        </w:trPr>
        <w:tc>
          <w:tcPr>
            <w:tcW w:w="7507" w:type="dxa"/>
            <w:tcBorders>
              <w:top w:val="single" w:sz="4" w:space="0" w:color="7EB1E6"/>
              <w:left w:val="single" w:sz="4" w:space="0" w:color="7EB1E6"/>
              <w:bottom w:val="single" w:sz="4" w:space="0" w:color="7EB1E6"/>
              <w:right w:val="single" w:sz="4" w:space="0" w:color="7EB1E6"/>
            </w:tcBorders>
            <w:shd w:val="clear" w:color="auto" w:fill="8ACC8E"/>
          </w:tcPr>
          <w:p w14:paraId="6A47406F" w14:textId="77777777" w:rsidR="00086021" w:rsidRDefault="009E19AB">
            <w:pPr>
              <w:pStyle w:val="TableContents"/>
              <w:numPr>
                <w:ilvl w:val="0"/>
                <w:numId w:val="8"/>
              </w:numPr>
            </w:pPr>
            <w:r>
              <w:rPr>
                <w:rFonts w:eastAsia="Times New Roman" w:cs="Calibri"/>
              </w:rPr>
              <w:t>Build capacity in Public Finance Management, Program Based Budgets and MTEF amongst all stakeholders to strengthen their engagement in implementation.</w:t>
            </w:r>
          </w:p>
        </w:tc>
        <w:tc>
          <w:tcPr>
            <w:tcW w:w="2208" w:type="dxa"/>
            <w:tcBorders>
              <w:top w:val="single" w:sz="4" w:space="0" w:color="7EB1E6"/>
              <w:left w:val="single" w:sz="4" w:space="0" w:color="7EB1E6"/>
              <w:bottom w:val="single" w:sz="4" w:space="0" w:color="7EB1E6"/>
              <w:right w:val="single" w:sz="4" w:space="0" w:color="7EB1E6"/>
            </w:tcBorders>
            <w:shd w:val="clear" w:color="auto" w:fill="8ACC8E"/>
          </w:tcPr>
          <w:p w14:paraId="4A7FC0BC" w14:textId="77777777" w:rsidR="00086021" w:rsidRDefault="009E19AB">
            <w:pPr>
              <w:pStyle w:val="TableContents"/>
              <w:rPr>
                <w:szCs w:val="18"/>
              </w:rPr>
            </w:pPr>
            <w:r>
              <w:rPr>
                <w:szCs w:val="18"/>
              </w:rPr>
              <w:t>Government, Donors, CSO</w:t>
            </w:r>
          </w:p>
        </w:tc>
      </w:tr>
      <w:tr w:rsidR="00086021" w14:paraId="75E5247E" w14:textId="77777777">
        <w:trPr>
          <w:trHeight w:val="560"/>
        </w:trPr>
        <w:tc>
          <w:tcPr>
            <w:tcW w:w="7507" w:type="dxa"/>
            <w:tcBorders>
              <w:top w:val="single" w:sz="4" w:space="0" w:color="7EB1E6"/>
              <w:left w:val="single" w:sz="4" w:space="0" w:color="7EB1E6"/>
              <w:bottom w:val="single" w:sz="4" w:space="0" w:color="7EB1E6"/>
              <w:right w:val="single" w:sz="4" w:space="0" w:color="7EB1E6"/>
            </w:tcBorders>
          </w:tcPr>
          <w:p w14:paraId="1E27872F" w14:textId="77777777" w:rsidR="00086021" w:rsidRDefault="009E19AB">
            <w:pPr>
              <w:pStyle w:val="TableContents"/>
              <w:numPr>
                <w:ilvl w:val="0"/>
                <w:numId w:val="8"/>
              </w:numPr>
              <w:rPr>
                <w:szCs w:val="18"/>
              </w:rPr>
            </w:pPr>
            <w:r>
              <w:rPr>
                <w:szCs w:val="18"/>
              </w:rPr>
              <w:t>Strengthen efficiency and accountability systems to ensure more health for available resources (maximize value for money).</w:t>
            </w:r>
          </w:p>
        </w:tc>
        <w:tc>
          <w:tcPr>
            <w:tcW w:w="2208" w:type="dxa"/>
            <w:tcBorders>
              <w:top w:val="single" w:sz="4" w:space="0" w:color="7EB1E6"/>
              <w:left w:val="single" w:sz="4" w:space="0" w:color="7EB1E6"/>
              <w:bottom w:val="single" w:sz="4" w:space="0" w:color="7EB1E6"/>
              <w:right w:val="single" w:sz="4" w:space="0" w:color="7EB1E6"/>
            </w:tcBorders>
          </w:tcPr>
          <w:p w14:paraId="6D79D4C9" w14:textId="77777777" w:rsidR="00086021" w:rsidRDefault="009E19AB">
            <w:pPr>
              <w:pStyle w:val="TableContents"/>
              <w:rPr>
                <w:szCs w:val="18"/>
              </w:rPr>
            </w:pPr>
            <w:r>
              <w:rPr>
                <w:szCs w:val="18"/>
              </w:rPr>
              <w:t>Government, Donors, CSO</w:t>
            </w:r>
          </w:p>
        </w:tc>
      </w:tr>
      <w:tr w:rsidR="00086021" w14:paraId="133AA71C" w14:textId="77777777">
        <w:trPr>
          <w:trHeight w:val="560"/>
        </w:trPr>
        <w:tc>
          <w:tcPr>
            <w:tcW w:w="7507" w:type="dxa"/>
            <w:tcBorders>
              <w:top w:val="single" w:sz="4" w:space="0" w:color="7EB1E6"/>
              <w:left w:val="single" w:sz="4" w:space="0" w:color="7EB1E6"/>
              <w:bottom w:val="single" w:sz="4" w:space="0" w:color="7EB1E6"/>
              <w:right w:val="single" w:sz="4" w:space="0" w:color="7EB1E6"/>
            </w:tcBorders>
            <w:shd w:val="clear" w:color="auto" w:fill="8ACC8E"/>
          </w:tcPr>
          <w:p w14:paraId="72B5F12D" w14:textId="77777777" w:rsidR="00086021" w:rsidRDefault="009E19AB">
            <w:pPr>
              <w:pStyle w:val="TableContents"/>
              <w:numPr>
                <w:ilvl w:val="0"/>
                <w:numId w:val="8"/>
              </w:numPr>
              <w:rPr>
                <w:szCs w:val="18"/>
              </w:rPr>
            </w:pPr>
            <w:r>
              <w:rPr>
                <w:szCs w:val="18"/>
              </w:rPr>
              <w:t>Increase on-budget financing of health by donors</w:t>
            </w:r>
          </w:p>
        </w:tc>
        <w:tc>
          <w:tcPr>
            <w:tcW w:w="2208" w:type="dxa"/>
            <w:tcBorders>
              <w:top w:val="single" w:sz="4" w:space="0" w:color="7EB1E6"/>
              <w:left w:val="single" w:sz="4" w:space="0" w:color="7EB1E6"/>
              <w:bottom w:val="single" w:sz="4" w:space="0" w:color="7EB1E6"/>
              <w:right w:val="single" w:sz="4" w:space="0" w:color="7EB1E6"/>
            </w:tcBorders>
            <w:shd w:val="clear" w:color="auto" w:fill="8ACC8E"/>
          </w:tcPr>
          <w:p w14:paraId="48F251D8" w14:textId="77777777" w:rsidR="00086021" w:rsidRDefault="009E19AB">
            <w:pPr>
              <w:pStyle w:val="TableContents"/>
              <w:rPr>
                <w:szCs w:val="18"/>
              </w:rPr>
            </w:pPr>
            <w:r>
              <w:rPr>
                <w:szCs w:val="18"/>
              </w:rPr>
              <w:t>Government, Donors, CSO</w:t>
            </w:r>
          </w:p>
        </w:tc>
      </w:tr>
      <w:tr w:rsidR="00086021" w14:paraId="4ABCB302" w14:textId="77777777">
        <w:trPr>
          <w:trHeight w:val="560"/>
        </w:trPr>
        <w:tc>
          <w:tcPr>
            <w:tcW w:w="7507" w:type="dxa"/>
            <w:tcBorders>
              <w:top w:val="single" w:sz="4" w:space="0" w:color="7EB1E6"/>
              <w:left w:val="single" w:sz="4" w:space="0" w:color="7EB1E6"/>
              <w:bottom w:val="single" w:sz="4" w:space="0" w:color="7EB1E6"/>
              <w:right w:val="single" w:sz="4" w:space="0" w:color="7EB1E6"/>
            </w:tcBorders>
          </w:tcPr>
          <w:p w14:paraId="4C299644" w14:textId="77777777" w:rsidR="00086021" w:rsidRDefault="009E19AB">
            <w:pPr>
              <w:pStyle w:val="TableContents"/>
              <w:numPr>
                <w:ilvl w:val="0"/>
                <w:numId w:val="8"/>
              </w:numPr>
              <w:rPr>
                <w:szCs w:val="18"/>
              </w:rPr>
            </w:pPr>
            <w:r>
              <w:rPr>
                <w:szCs w:val="18"/>
              </w:rPr>
              <w:t>Incentivize prudence in public finance management</w:t>
            </w:r>
          </w:p>
        </w:tc>
        <w:tc>
          <w:tcPr>
            <w:tcW w:w="2208" w:type="dxa"/>
            <w:tcBorders>
              <w:top w:val="single" w:sz="4" w:space="0" w:color="7EB1E6"/>
              <w:left w:val="single" w:sz="4" w:space="0" w:color="7EB1E6"/>
              <w:bottom w:val="single" w:sz="4" w:space="0" w:color="7EB1E6"/>
              <w:right w:val="single" w:sz="4" w:space="0" w:color="7EB1E6"/>
            </w:tcBorders>
          </w:tcPr>
          <w:p w14:paraId="72769846" w14:textId="77777777" w:rsidR="00086021" w:rsidRDefault="009E19AB">
            <w:pPr>
              <w:pStyle w:val="TableContents"/>
              <w:rPr>
                <w:szCs w:val="18"/>
              </w:rPr>
            </w:pPr>
            <w:r>
              <w:rPr>
                <w:szCs w:val="18"/>
              </w:rPr>
              <w:t>CRA, Donors, CSO</w:t>
            </w:r>
          </w:p>
        </w:tc>
      </w:tr>
      <w:tr w:rsidR="00086021" w14:paraId="12DA60AC" w14:textId="77777777">
        <w:trPr>
          <w:trHeight w:val="560"/>
        </w:trPr>
        <w:tc>
          <w:tcPr>
            <w:tcW w:w="7507" w:type="dxa"/>
            <w:tcBorders>
              <w:top w:val="single" w:sz="4" w:space="0" w:color="7EB1E6"/>
              <w:left w:val="single" w:sz="4" w:space="0" w:color="7EB1E6"/>
              <w:bottom w:val="single" w:sz="4" w:space="0" w:color="7EB1E6"/>
              <w:right w:val="single" w:sz="4" w:space="0" w:color="7EB1E6"/>
            </w:tcBorders>
            <w:shd w:val="clear" w:color="auto" w:fill="8ACC8E"/>
          </w:tcPr>
          <w:p w14:paraId="442C3E0D" w14:textId="77777777" w:rsidR="00086021" w:rsidRDefault="009E19AB">
            <w:pPr>
              <w:pStyle w:val="TableContents"/>
              <w:numPr>
                <w:ilvl w:val="0"/>
                <w:numId w:val="8"/>
              </w:numPr>
              <w:rPr>
                <w:szCs w:val="18"/>
              </w:rPr>
            </w:pPr>
            <w:r>
              <w:rPr>
                <w:rFonts w:eastAsia="Times New Roman" w:cs="Calibri"/>
                <w:color w:val="000000"/>
                <w:szCs w:val="18"/>
              </w:rPr>
              <w:t>Institute legal reforms to allow adequate time for public participation within the budget cycle</w:t>
            </w:r>
          </w:p>
        </w:tc>
        <w:tc>
          <w:tcPr>
            <w:tcW w:w="2208" w:type="dxa"/>
            <w:tcBorders>
              <w:top w:val="single" w:sz="4" w:space="0" w:color="7EB1E6"/>
              <w:left w:val="single" w:sz="4" w:space="0" w:color="7EB1E6"/>
              <w:bottom w:val="single" w:sz="4" w:space="0" w:color="7EB1E6"/>
              <w:right w:val="single" w:sz="4" w:space="0" w:color="7EB1E6"/>
            </w:tcBorders>
            <w:shd w:val="clear" w:color="auto" w:fill="8ACC8E"/>
          </w:tcPr>
          <w:p w14:paraId="705548E5" w14:textId="77777777" w:rsidR="00086021" w:rsidRDefault="009E19AB">
            <w:pPr>
              <w:pStyle w:val="TableContents"/>
              <w:rPr>
                <w:szCs w:val="18"/>
              </w:rPr>
            </w:pPr>
            <w:r>
              <w:rPr>
                <w:szCs w:val="18"/>
              </w:rPr>
              <w:t>Government, Donors, CSO</w:t>
            </w:r>
          </w:p>
        </w:tc>
      </w:tr>
    </w:tbl>
    <w:p w14:paraId="5EBB541D" w14:textId="77777777" w:rsidR="00086021" w:rsidRDefault="00086021">
      <w:pPr>
        <w:pStyle w:val="BodyText"/>
      </w:pPr>
    </w:p>
    <w:p w14:paraId="5396CE20" w14:textId="77777777" w:rsidR="00086021" w:rsidRDefault="00086021">
      <w:pPr>
        <w:pStyle w:val="BodyText"/>
      </w:pPr>
    </w:p>
    <w:p w14:paraId="5B6E898D" w14:textId="77777777" w:rsidR="00086021" w:rsidRDefault="00086021">
      <w:pPr>
        <w:pStyle w:val="BodyText"/>
      </w:pPr>
    </w:p>
    <w:p w14:paraId="3A9FBD97" w14:textId="77777777" w:rsidR="00086021" w:rsidRDefault="00086021">
      <w:pPr>
        <w:pStyle w:val="BodyText"/>
      </w:pPr>
    </w:p>
    <w:p w14:paraId="1D391BC1" w14:textId="77777777" w:rsidR="00086021" w:rsidRDefault="00086021">
      <w:pPr>
        <w:pStyle w:val="BodyText"/>
      </w:pPr>
    </w:p>
    <w:p w14:paraId="32EA830C" w14:textId="77777777" w:rsidR="00086021" w:rsidRDefault="00086021">
      <w:pPr>
        <w:pStyle w:val="BodyText"/>
      </w:pPr>
    </w:p>
    <w:p w14:paraId="69B22538" w14:textId="77777777" w:rsidR="00086021" w:rsidRDefault="00086021">
      <w:pPr>
        <w:pStyle w:val="BodyText"/>
      </w:pPr>
    </w:p>
    <w:p w14:paraId="724AC895" w14:textId="77777777" w:rsidR="00086021" w:rsidRDefault="00086021">
      <w:pPr>
        <w:pStyle w:val="BodyText"/>
      </w:pPr>
    </w:p>
    <w:p w14:paraId="39FDE3E8" w14:textId="77777777" w:rsidR="00086021" w:rsidRDefault="00086021">
      <w:pPr>
        <w:pStyle w:val="BodyText"/>
      </w:pPr>
    </w:p>
    <w:p w14:paraId="5C1D04C9" w14:textId="77777777" w:rsidR="00086021" w:rsidRDefault="00086021">
      <w:pPr>
        <w:pStyle w:val="BodyText"/>
      </w:pPr>
    </w:p>
    <w:p w14:paraId="604D7420" w14:textId="77777777" w:rsidR="00086021" w:rsidRDefault="00086021">
      <w:pPr>
        <w:pStyle w:val="BodyText"/>
      </w:pPr>
    </w:p>
    <w:p w14:paraId="166CD90D" w14:textId="77777777" w:rsidR="00086021" w:rsidRDefault="00086021">
      <w:pPr>
        <w:pStyle w:val="BodyText"/>
      </w:pPr>
    </w:p>
    <w:tbl>
      <w:tblPr>
        <w:tblW w:w="9715" w:type="dxa"/>
        <w:tblInd w:w="108" w:type="dxa"/>
        <w:tblLook w:val="04A0" w:firstRow="1" w:lastRow="0" w:firstColumn="1" w:lastColumn="0" w:noHBand="0" w:noVBand="1"/>
      </w:tblPr>
      <w:tblGrid>
        <w:gridCol w:w="7507"/>
        <w:gridCol w:w="2208"/>
      </w:tblGrid>
      <w:tr w:rsidR="00086021" w14:paraId="12C84D1A" w14:textId="77777777">
        <w:trPr>
          <w:trHeight w:val="300"/>
        </w:trPr>
        <w:tc>
          <w:tcPr>
            <w:tcW w:w="7507" w:type="dxa"/>
            <w:tcBorders>
              <w:top w:val="single" w:sz="4" w:space="0" w:color="297FD5"/>
              <w:left w:val="single" w:sz="4" w:space="0" w:color="297FD5"/>
              <w:bottom w:val="single" w:sz="4" w:space="0" w:color="297FD5"/>
              <w:right w:val="single" w:sz="4" w:space="0" w:color="297FD5"/>
            </w:tcBorders>
            <w:shd w:val="clear" w:color="auto" w:fill="C9211E"/>
          </w:tcPr>
          <w:p w14:paraId="68CF9100" w14:textId="77777777" w:rsidR="00086021" w:rsidRDefault="009E19AB">
            <w:pPr>
              <w:pStyle w:val="TableContents"/>
              <w:rPr>
                <w:color w:val="FEFEFE"/>
              </w:rPr>
            </w:pPr>
            <w:r>
              <w:rPr>
                <w:color w:val="FEFEFE"/>
              </w:rPr>
              <w:t>Recommendation</w:t>
            </w:r>
          </w:p>
        </w:tc>
        <w:tc>
          <w:tcPr>
            <w:tcW w:w="2208" w:type="dxa"/>
            <w:tcBorders>
              <w:top w:val="single" w:sz="4" w:space="0" w:color="297FD5"/>
              <w:left w:val="single" w:sz="4" w:space="0" w:color="297FD5"/>
              <w:bottom w:val="single" w:sz="4" w:space="0" w:color="297FD5"/>
              <w:right w:val="single" w:sz="4" w:space="0" w:color="297FD5"/>
            </w:tcBorders>
            <w:shd w:val="clear" w:color="auto" w:fill="C9211E"/>
          </w:tcPr>
          <w:p w14:paraId="7DFA9F90" w14:textId="77777777" w:rsidR="00086021" w:rsidRDefault="009E19AB">
            <w:pPr>
              <w:pStyle w:val="TableContents"/>
              <w:rPr>
                <w:color w:val="FEFEFE"/>
              </w:rPr>
            </w:pPr>
            <w:r>
              <w:rPr>
                <w:color w:val="FEFEFE"/>
              </w:rPr>
              <w:t>Responsibility</w:t>
            </w:r>
          </w:p>
        </w:tc>
      </w:tr>
      <w:tr w:rsidR="00086021" w14:paraId="7CFE38B5" w14:textId="77777777">
        <w:trPr>
          <w:trHeight w:val="392"/>
        </w:trPr>
        <w:tc>
          <w:tcPr>
            <w:tcW w:w="9715" w:type="dxa"/>
            <w:gridSpan w:val="2"/>
            <w:tcBorders>
              <w:top w:val="single" w:sz="4" w:space="0" w:color="7EB1E6"/>
              <w:left w:val="single" w:sz="4" w:space="0" w:color="7EB1E6"/>
              <w:bottom w:val="single" w:sz="4" w:space="0" w:color="7EB1E6"/>
              <w:right w:val="single" w:sz="4" w:space="0" w:color="7EB1E6"/>
            </w:tcBorders>
            <w:shd w:val="clear" w:color="auto" w:fill="8ACC8E"/>
          </w:tcPr>
          <w:p w14:paraId="2942A69A" w14:textId="77777777" w:rsidR="00086021" w:rsidRDefault="009E19AB">
            <w:pPr>
              <w:pStyle w:val="TableContents"/>
            </w:pPr>
            <w:r>
              <w:t>Revenue Pooling</w:t>
            </w:r>
          </w:p>
        </w:tc>
      </w:tr>
      <w:tr w:rsidR="00086021" w14:paraId="114E7616" w14:textId="77777777">
        <w:trPr>
          <w:trHeight w:val="560"/>
        </w:trPr>
        <w:tc>
          <w:tcPr>
            <w:tcW w:w="7507" w:type="dxa"/>
            <w:tcBorders>
              <w:top w:val="single" w:sz="4" w:space="0" w:color="7EB1E6"/>
              <w:left w:val="single" w:sz="4" w:space="0" w:color="7EB1E6"/>
              <w:bottom w:val="single" w:sz="4" w:space="0" w:color="7EB1E6"/>
              <w:right w:val="single" w:sz="4" w:space="0" w:color="7EB1E6"/>
            </w:tcBorders>
          </w:tcPr>
          <w:p w14:paraId="3FD284FE" w14:textId="77777777" w:rsidR="00086021" w:rsidRDefault="009E19AB">
            <w:pPr>
              <w:pStyle w:val="TableContents"/>
              <w:numPr>
                <w:ilvl w:val="0"/>
                <w:numId w:val="6"/>
              </w:numPr>
            </w:pPr>
            <w:r>
              <w:t>Strengthen accountability and improve business processes within NHIF for efficiency</w:t>
            </w:r>
          </w:p>
        </w:tc>
        <w:tc>
          <w:tcPr>
            <w:tcW w:w="2208" w:type="dxa"/>
            <w:tcBorders>
              <w:top w:val="single" w:sz="4" w:space="0" w:color="7EB1E6"/>
              <w:left w:val="single" w:sz="4" w:space="0" w:color="7EB1E6"/>
              <w:bottom w:val="single" w:sz="4" w:space="0" w:color="7EB1E6"/>
              <w:right w:val="single" w:sz="4" w:space="0" w:color="7EB1E6"/>
            </w:tcBorders>
          </w:tcPr>
          <w:p w14:paraId="0A44ED40" w14:textId="77777777" w:rsidR="00086021" w:rsidRDefault="009E19AB">
            <w:pPr>
              <w:pStyle w:val="TableContents"/>
            </w:pPr>
            <w:r>
              <w:t>Government, Donors, CSO</w:t>
            </w:r>
          </w:p>
        </w:tc>
      </w:tr>
      <w:tr w:rsidR="00086021" w14:paraId="7CF53FE8" w14:textId="77777777">
        <w:trPr>
          <w:trHeight w:val="831"/>
        </w:trPr>
        <w:tc>
          <w:tcPr>
            <w:tcW w:w="7507" w:type="dxa"/>
            <w:tcBorders>
              <w:top w:val="single" w:sz="4" w:space="0" w:color="7EB1E6"/>
              <w:left w:val="single" w:sz="4" w:space="0" w:color="7EB1E6"/>
              <w:bottom w:val="single" w:sz="4" w:space="0" w:color="7EB1E6"/>
              <w:right w:val="single" w:sz="4" w:space="0" w:color="7EB1E6"/>
            </w:tcBorders>
            <w:shd w:val="clear" w:color="auto" w:fill="8ACC8E"/>
          </w:tcPr>
          <w:p w14:paraId="0A14E890" w14:textId="77777777" w:rsidR="00086021" w:rsidRDefault="009E19AB">
            <w:pPr>
              <w:pStyle w:val="TableContents"/>
              <w:numPr>
                <w:ilvl w:val="0"/>
                <w:numId w:val="6"/>
              </w:numPr>
            </w:pPr>
            <w:r>
              <w:t>Facilitate the implementation and integration of the HIV Trust Fund within the UHC agenda rather than independent implementation. Integration would ensure maximization of efficiencies of pool consolidation.</w:t>
            </w:r>
          </w:p>
        </w:tc>
        <w:tc>
          <w:tcPr>
            <w:tcW w:w="2208" w:type="dxa"/>
            <w:tcBorders>
              <w:top w:val="single" w:sz="4" w:space="0" w:color="7EB1E6"/>
              <w:left w:val="single" w:sz="4" w:space="0" w:color="7EB1E6"/>
              <w:bottom w:val="single" w:sz="4" w:space="0" w:color="7EB1E6"/>
              <w:right w:val="single" w:sz="4" w:space="0" w:color="7EB1E6"/>
            </w:tcBorders>
            <w:shd w:val="clear" w:color="auto" w:fill="8ACC8E"/>
          </w:tcPr>
          <w:p w14:paraId="5F2A8320" w14:textId="77777777" w:rsidR="00086021" w:rsidRDefault="009E19AB">
            <w:pPr>
              <w:pStyle w:val="TableContents"/>
            </w:pPr>
            <w:r>
              <w:t>Government, Donors, CSO</w:t>
            </w:r>
          </w:p>
        </w:tc>
      </w:tr>
      <w:tr w:rsidR="00086021" w14:paraId="5FFFCB40" w14:textId="77777777">
        <w:trPr>
          <w:trHeight w:val="560"/>
        </w:trPr>
        <w:tc>
          <w:tcPr>
            <w:tcW w:w="7507" w:type="dxa"/>
            <w:tcBorders>
              <w:top w:val="single" w:sz="4" w:space="0" w:color="7EB1E6"/>
              <w:left w:val="single" w:sz="4" w:space="0" w:color="7EB1E6"/>
              <w:bottom w:val="single" w:sz="4" w:space="0" w:color="7EB1E6"/>
              <w:right w:val="single" w:sz="4" w:space="0" w:color="7EB1E6"/>
            </w:tcBorders>
          </w:tcPr>
          <w:p w14:paraId="67A1ACF4" w14:textId="77777777" w:rsidR="00086021" w:rsidRDefault="009E19AB">
            <w:pPr>
              <w:pStyle w:val="TableContents"/>
              <w:numPr>
                <w:ilvl w:val="0"/>
                <w:numId w:val="6"/>
              </w:numPr>
            </w:pPr>
            <w:r>
              <w:t>Expand the health insurance coverage through aggressive, targeted NHIF recruitment</w:t>
            </w:r>
          </w:p>
        </w:tc>
        <w:tc>
          <w:tcPr>
            <w:tcW w:w="2208" w:type="dxa"/>
            <w:tcBorders>
              <w:top w:val="single" w:sz="4" w:space="0" w:color="7EB1E6"/>
              <w:left w:val="single" w:sz="4" w:space="0" w:color="7EB1E6"/>
              <w:bottom w:val="single" w:sz="4" w:space="0" w:color="7EB1E6"/>
              <w:right w:val="single" w:sz="4" w:space="0" w:color="7EB1E6"/>
            </w:tcBorders>
          </w:tcPr>
          <w:p w14:paraId="4074E847" w14:textId="77777777" w:rsidR="00086021" w:rsidRDefault="009E19AB">
            <w:pPr>
              <w:pStyle w:val="TableContents"/>
            </w:pPr>
            <w:r>
              <w:t>Government, Donors, CSO</w:t>
            </w:r>
          </w:p>
        </w:tc>
      </w:tr>
      <w:tr w:rsidR="00086021" w14:paraId="770E58DE" w14:textId="77777777">
        <w:trPr>
          <w:trHeight w:val="414"/>
        </w:trPr>
        <w:tc>
          <w:tcPr>
            <w:tcW w:w="9715" w:type="dxa"/>
            <w:gridSpan w:val="2"/>
            <w:tcBorders>
              <w:top w:val="single" w:sz="4" w:space="0" w:color="7EB1E6"/>
              <w:left w:val="single" w:sz="4" w:space="0" w:color="7EB1E6"/>
              <w:bottom w:val="single" w:sz="4" w:space="0" w:color="7EB1E6"/>
              <w:right w:val="single" w:sz="4" w:space="0" w:color="7EB1E6"/>
            </w:tcBorders>
            <w:shd w:val="clear" w:color="auto" w:fill="8ACC8E"/>
          </w:tcPr>
          <w:p w14:paraId="73253FD2" w14:textId="77777777" w:rsidR="00086021" w:rsidRDefault="009E19AB">
            <w:pPr>
              <w:pStyle w:val="TableContents"/>
            </w:pPr>
            <w:r>
              <w:t>Purchasing Arrangements</w:t>
            </w:r>
          </w:p>
        </w:tc>
      </w:tr>
      <w:tr w:rsidR="00086021" w14:paraId="3E5D5DE9" w14:textId="77777777">
        <w:trPr>
          <w:trHeight w:val="560"/>
        </w:trPr>
        <w:tc>
          <w:tcPr>
            <w:tcW w:w="7507" w:type="dxa"/>
            <w:tcBorders>
              <w:top w:val="single" w:sz="4" w:space="0" w:color="7EB1E6"/>
              <w:left w:val="single" w:sz="4" w:space="0" w:color="7EB1E6"/>
              <w:bottom w:val="single" w:sz="4" w:space="0" w:color="7EB1E6"/>
              <w:right w:val="single" w:sz="4" w:space="0" w:color="7EB1E6"/>
            </w:tcBorders>
          </w:tcPr>
          <w:p w14:paraId="7C7426F8" w14:textId="77777777" w:rsidR="00086021" w:rsidRDefault="009E19AB">
            <w:pPr>
              <w:pStyle w:val="TableContents"/>
              <w:numPr>
                <w:ilvl w:val="0"/>
                <w:numId w:val="9"/>
              </w:numPr>
            </w:pPr>
            <w:r>
              <w:t>Initiate reforms to align reimbursement mechanisms to strategic purchasing.</w:t>
            </w:r>
          </w:p>
        </w:tc>
        <w:tc>
          <w:tcPr>
            <w:tcW w:w="2208" w:type="dxa"/>
            <w:tcBorders>
              <w:top w:val="single" w:sz="4" w:space="0" w:color="7EB1E6"/>
              <w:left w:val="single" w:sz="4" w:space="0" w:color="7EB1E6"/>
              <w:bottom w:val="single" w:sz="4" w:space="0" w:color="7EB1E6"/>
              <w:right w:val="single" w:sz="4" w:space="0" w:color="7EB1E6"/>
            </w:tcBorders>
          </w:tcPr>
          <w:p w14:paraId="0F07EEB5" w14:textId="77777777" w:rsidR="00086021" w:rsidRDefault="009E19AB">
            <w:pPr>
              <w:pStyle w:val="TableContents"/>
            </w:pPr>
            <w:r>
              <w:t>Government (IRA, NHIF), Donors, CSO</w:t>
            </w:r>
          </w:p>
        </w:tc>
      </w:tr>
      <w:tr w:rsidR="00086021" w14:paraId="1D1D39B8" w14:textId="77777777">
        <w:trPr>
          <w:trHeight w:val="560"/>
        </w:trPr>
        <w:tc>
          <w:tcPr>
            <w:tcW w:w="7507" w:type="dxa"/>
            <w:tcBorders>
              <w:top w:val="single" w:sz="4" w:space="0" w:color="7EB1E6"/>
              <w:left w:val="single" w:sz="4" w:space="0" w:color="7EB1E6"/>
              <w:bottom w:val="single" w:sz="4" w:space="0" w:color="7EB1E6"/>
              <w:right w:val="single" w:sz="4" w:space="0" w:color="7EB1E6"/>
            </w:tcBorders>
            <w:shd w:val="clear" w:color="auto" w:fill="8ACC8E"/>
          </w:tcPr>
          <w:p w14:paraId="1EE88A6A" w14:textId="77777777" w:rsidR="00086021" w:rsidRDefault="009E19AB">
            <w:pPr>
              <w:pStyle w:val="TableContents"/>
              <w:numPr>
                <w:ilvl w:val="0"/>
                <w:numId w:val="9"/>
              </w:numPr>
            </w:pPr>
            <w:r>
              <w:t>Facilitate integrated and inclusive purchasing arrangements that accommodate CSOs and private health providers</w:t>
            </w:r>
          </w:p>
        </w:tc>
        <w:tc>
          <w:tcPr>
            <w:tcW w:w="2208" w:type="dxa"/>
            <w:tcBorders>
              <w:top w:val="single" w:sz="4" w:space="0" w:color="7EB1E6"/>
              <w:left w:val="single" w:sz="4" w:space="0" w:color="7EB1E6"/>
              <w:bottom w:val="single" w:sz="4" w:space="0" w:color="7EB1E6"/>
              <w:right w:val="single" w:sz="4" w:space="0" w:color="7EB1E6"/>
            </w:tcBorders>
            <w:shd w:val="clear" w:color="auto" w:fill="8ACC8E"/>
          </w:tcPr>
          <w:p w14:paraId="5A12C505" w14:textId="77777777" w:rsidR="00086021" w:rsidRDefault="009E19AB">
            <w:pPr>
              <w:pStyle w:val="TableContents"/>
            </w:pPr>
            <w:r>
              <w:t>Government (IRA, NHIF, KEMSA), Donors, CSO</w:t>
            </w:r>
          </w:p>
        </w:tc>
      </w:tr>
      <w:tr w:rsidR="00086021" w14:paraId="507549A3" w14:textId="77777777">
        <w:trPr>
          <w:trHeight w:val="840"/>
        </w:trPr>
        <w:tc>
          <w:tcPr>
            <w:tcW w:w="7507" w:type="dxa"/>
            <w:tcBorders>
              <w:top w:val="single" w:sz="4" w:space="0" w:color="7EB1E6"/>
              <w:left w:val="single" w:sz="4" w:space="0" w:color="7EB1E6"/>
              <w:bottom w:val="single" w:sz="4" w:space="0" w:color="7EB1E6"/>
              <w:right w:val="single" w:sz="4" w:space="0" w:color="7EB1E6"/>
            </w:tcBorders>
          </w:tcPr>
          <w:p w14:paraId="053C06B6" w14:textId="77777777" w:rsidR="00086021" w:rsidRDefault="009E19AB">
            <w:pPr>
              <w:pStyle w:val="TableContents"/>
              <w:numPr>
                <w:ilvl w:val="0"/>
                <w:numId w:val="9"/>
              </w:numPr>
            </w:pPr>
            <w:r>
              <w:t xml:space="preserve">Strengthen the procurement processes to limit redundancies whilst improving efficiency and accountability </w:t>
            </w:r>
            <w:proofErr w:type="gramStart"/>
            <w:r>
              <w:t>e.g.</w:t>
            </w:r>
            <w:proofErr w:type="gramEnd"/>
            <w:r>
              <w:t xml:space="preserve"> through automation.</w:t>
            </w:r>
          </w:p>
        </w:tc>
        <w:tc>
          <w:tcPr>
            <w:tcW w:w="2208" w:type="dxa"/>
            <w:tcBorders>
              <w:top w:val="single" w:sz="4" w:space="0" w:color="7EB1E6"/>
              <w:left w:val="single" w:sz="4" w:space="0" w:color="7EB1E6"/>
              <w:bottom w:val="single" w:sz="4" w:space="0" w:color="7EB1E6"/>
              <w:right w:val="single" w:sz="4" w:space="0" w:color="7EB1E6"/>
            </w:tcBorders>
          </w:tcPr>
          <w:p w14:paraId="6ADA36CD" w14:textId="77777777" w:rsidR="00086021" w:rsidRDefault="009E19AB">
            <w:pPr>
              <w:pStyle w:val="TableContents"/>
            </w:pPr>
            <w:r>
              <w:t>Government (IRA, NHIF, KEMSA), Donors, CSO</w:t>
            </w:r>
          </w:p>
        </w:tc>
      </w:tr>
      <w:tr w:rsidR="00086021" w14:paraId="512DFB96" w14:textId="77777777">
        <w:trPr>
          <w:trHeight w:val="560"/>
        </w:trPr>
        <w:tc>
          <w:tcPr>
            <w:tcW w:w="7507" w:type="dxa"/>
            <w:tcBorders>
              <w:top w:val="single" w:sz="4" w:space="0" w:color="7EB1E6"/>
              <w:left w:val="single" w:sz="4" w:space="0" w:color="7EB1E6"/>
              <w:bottom w:val="single" w:sz="4" w:space="0" w:color="7EB1E6"/>
              <w:right w:val="single" w:sz="4" w:space="0" w:color="7EB1E6"/>
            </w:tcBorders>
            <w:shd w:val="clear" w:color="auto" w:fill="8ACC8E"/>
          </w:tcPr>
          <w:p w14:paraId="3E96D319" w14:textId="77777777" w:rsidR="00086021" w:rsidRDefault="009E19AB">
            <w:pPr>
              <w:pStyle w:val="TableContents"/>
              <w:numPr>
                <w:ilvl w:val="0"/>
                <w:numId w:val="9"/>
              </w:numPr>
            </w:pPr>
            <w:r>
              <w:t>Facilitate development of a more KP and AGYW sensitive UHC benefits package.</w:t>
            </w:r>
          </w:p>
        </w:tc>
        <w:tc>
          <w:tcPr>
            <w:tcW w:w="2208" w:type="dxa"/>
            <w:tcBorders>
              <w:top w:val="single" w:sz="4" w:space="0" w:color="7EB1E6"/>
              <w:left w:val="single" w:sz="4" w:space="0" w:color="7EB1E6"/>
              <w:bottom w:val="single" w:sz="4" w:space="0" w:color="7EB1E6"/>
              <w:right w:val="single" w:sz="4" w:space="0" w:color="7EB1E6"/>
            </w:tcBorders>
            <w:shd w:val="clear" w:color="auto" w:fill="8ACC8E"/>
          </w:tcPr>
          <w:p w14:paraId="3B2D3A9A" w14:textId="77777777" w:rsidR="00086021" w:rsidRDefault="009E19AB">
            <w:pPr>
              <w:pStyle w:val="TableContents"/>
            </w:pPr>
            <w:r>
              <w:t>Government, Donors, CSO</w:t>
            </w:r>
          </w:p>
        </w:tc>
      </w:tr>
      <w:tr w:rsidR="00086021" w14:paraId="61E1B73F" w14:textId="77777777">
        <w:trPr>
          <w:trHeight w:val="560"/>
        </w:trPr>
        <w:tc>
          <w:tcPr>
            <w:tcW w:w="7507" w:type="dxa"/>
            <w:tcBorders>
              <w:top w:val="single" w:sz="4" w:space="0" w:color="7EB1E6"/>
              <w:left w:val="single" w:sz="4" w:space="0" w:color="7EB1E6"/>
              <w:bottom w:val="single" w:sz="4" w:space="0" w:color="7EB1E6"/>
              <w:right w:val="single" w:sz="4" w:space="0" w:color="7EB1E6"/>
            </w:tcBorders>
          </w:tcPr>
          <w:p w14:paraId="6C199AEE" w14:textId="77777777" w:rsidR="00086021" w:rsidRDefault="009E19AB">
            <w:pPr>
              <w:pStyle w:val="TableContents"/>
              <w:numPr>
                <w:ilvl w:val="0"/>
                <w:numId w:val="9"/>
              </w:numPr>
            </w:pPr>
            <w:r>
              <w:t>Champion for explicit rather than implicit benefits package design.</w:t>
            </w:r>
          </w:p>
        </w:tc>
        <w:tc>
          <w:tcPr>
            <w:tcW w:w="2208" w:type="dxa"/>
            <w:tcBorders>
              <w:top w:val="single" w:sz="4" w:space="0" w:color="7EB1E6"/>
              <w:left w:val="single" w:sz="4" w:space="0" w:color="7EB1E6"/>
              <w:bottom w:val="single" w:sz="4" w:space="0" w:color="7EB1E6"/>
              <w:right w:val="single" w:sz="4" w:space="0" w:color="7EB1E6"/>
            </w:tcBorders>
          </w:tcPr>
          <w:p w14:paraId="2D599CD1" w14:textId="77777777" w:rsidR="00086021" w:rsidRDefault="009E19AB">
            <w:pPr>
              <w:pStyle w:val="TableContents"/>
            </w:pPr>
            <w:r>
              <w:t>Government (IRA, NHIF), Donors, CSO</w:t>
            </w:r>
          </w:p>
        </w:tc>
      </w:tr>
      <w:tr w:rsidR="00086021" w14:paraId="1F539A6E" w14:textId="77777777">
        <w:trPr>
          <w:trHeight w:val="560"/>
        </w:trPr>
        <w:tc>
          <w:tcPr>
            <w:tcW w:w="7507" w:type="dxa"/>
            <w:tcBorders>
              <w:top w:val="single" w:sz="4" w:space="0" w:color="7EB1E6"/>
              <w:left w:val="single" w:sz="4" w:space="0" w:color="7EB1E6"/>
              <w:bottom w:val="single" w:sz="4" w:space="0" w:color="7EB1E6"/>
              <w:right w:val="single" w:sz="4" w:space="0" w:color="7EB1E6"/>
            </w:tcBorders>
            <w:shd w:val="clear" w:color="auto" w:fill="8ACC8E"/>
          </w:tcPr>
          <w:p w14:paraId="2B3FC401" w14:textId="77777777" w:rsidR="00086021" w:rsidRDefault="009E19AB">
            <w:pPr>
              <w:pStyle w:val="TableContents"/>
              <w:numPr>
                <w:ilvl w:val="0"/>
                <w:numId w:val="9"/>
              </w:numPr>
            </w:pPr>
            <w:r>
              <w:t>Build capacity among health workers in the delivery of KP and AGYW sensitive care.</w:t>
            </w:r>
          </w:p>
        </w:tc>
        <w:tc>
          <w:tcPr>
            <w:tcW w:w="2208" w:type="dxa"/>
            <w:tcBorders>
              <w:top w:val="single" w:sz="4" w:space="0" w:color="7EB1E6"/>
              <w:left w:val="single" w:sz="4" w:space="0" w:color="7EB1E6"/>
              <w:bottom w:val="single" w:sz="4" w:space="0" w:color="7EB1E6"/>
              <w:right w:val="single" w:sz="4" w:space="0" w:color="7EB1E6"/>
            </w:tcBorders>
            <w:shd w:val="clear" w:color="auto" w:fill="8ACC8E"/>
          </w:tcPr>
          <w:p w14:paraId="484F2537" w14:textId="77777777" w:rsidR="00086021" w:rsidRDefault="009E19AB">
            <w:pPr>
              <w:pStyle w:val="TableContents"/>
            </w:pPr>
            <w:r>
              <w:t>Government, Donors, CSO</w:t>
            </w:r>
          </w:p>
        </w:tc>
      </w:tr>
      <w:tr w:rsidR="00086021" w14:paraId="03BF3811" w14:textId="77777777">
        <w:trPr>
          <w:trHeight w:val="280"/>
        </w:trPr>
        <w:tc>
          <w:tcPr>
            <w:tcW w:w="9715" w:type="dxa"/>
            <w:gridSpan w:val="2"/>
            <w:tcBorders>
              <w:top w:val="single" w:sz="4" w:space="0" w:color="7EB1E6"/>
              <w:left w:val="single" w:sz="4" w:space="0" w:color="7EB1E6"/>
              <w:bottom w:val="single" w:sz="4" w:space="0" w:color="7EB1E6"/>
              <w:right w:val="single" w:sz="4" w:space="0" w:color="7EB1E6"/>
            </w:tcBorders>
          </w:tcPr>
          <w:p w14:paraId="65583391" w14:textId="77777777" w:rsidR="00086021" w:rsidRDefault="009E19AB">
            <w:pPr>
              <w:pStyle w:val="TableContents"/>
            </w:pPr>
            <w:r>
              <w:t>Accountability</w:t>
            </w:r>
          </w:p>
        </w:tc>
      </w:tr>
      <w:tr w:rsidR="00086021" w14:paraId="7CC7426E" w14:textId="77777777">
        <w:trPr>
          <w:trHeight w:val="760"/>
        </w:trPr>
        <w:tc>
          <w:tcPr>
            <w:tcW w:w="7507" w:type="dxa"/>
            <w:tcBorders>
              <w:top w:val="single" w:sz="4" w:space="0" w:color="7EB1E6"/>
              <w:left w:val="single" w:sz="4" w:space="0" w:color="7EB1E6"/>
              <w:bottom w:val="single" w:sz="4" w:space="0" w:color="7EB1E6"/>
              <w:right w:val="single" w:sz="4" w:space="0" w:color="7EB1E6"/>
            </w:tcBorders>
            <w:shd w:val="clear" w:color="auto" w:fill="8ACC8E"/>
          </w:tcPr>
          <w:p w14:paraId="59D6975A" w14:textId="77777777" w:rsidR="00086021" w:rsidRDefault="009E19AB">
            <w:pPr>
              <w:pStyle w:val="TableContents"/>
              <w:numPr>
                <w:ilvl w:val="0"/>
                <w:numId w:val="10"/>
              </w:numPr>
              <w:rPr>
                <w:szCs w:val="18"/>
              </w:rPr>
            </w:pPr>
            <w:r>
              <w:rPr>
                <w:rFonts w:eastAsia="Times New Roman" w:cs="Calibri"/>
                <w:szCs w:val="18"/>
              </w:rPr>
              <w:t>Institute legal reforms to allow for autonomy at facility level on the use of facility generated revenues for health.</w:t>
            </w:r>
          </w:p>
        </w:tc>
        <w:tc>
          <w:tcPr>
            <w:tcW w:w="2208" w:type="dxa"/>
            <w:tcBorders>
              <w:top w:val="single" w:sz="4" w:space="0" w:color="7EB1E6"/>
              <w:left w:val="single" w:sz="4" w:space="0" w:color="7EB1E6"/>
              <w:bottom w:val="single" w:sz="4" w:space="0" w:color="7EB1E6"/>
              <w:right w:val="single" w:sz="4" w:space="0" w:color="7EB1E6"/>
            </w:tcBorders>
            <w:shd w:val="clear" w:color="auto" w:fill="8ACC8E"/>
          </w:tcPr>
          <w:p w14:paraId="187933DC" w14:textId="77777777" w:rsidR="00086021" w:rsidRDefault="009E19AB">
            <w:pPr>
              <w:pStyle w:val="TableContents"/>
            </w:pPr>
            <w:r>
              <w:t>Government, Legislature, Donors, CSO</w:t>
            </w:r>
          </w:p>
        </w:tc>
      </w:tr>
      <w:tr w:rsidR="00086021" w14:paraId="794DF2FC" w14:textId="77777777">
        <w:trPr>
          <w:trHeight w:val="560"/>
        </w:trPr>
        <w:tc>
          <w:tcPr>
            <w:tcW w:w="7507" w:type="dxa"/>
            <w:tcBorders>
              <w:top w:val="single" w:sz="4" w:space="0" w:color="7EB1E6"/>
              <w:left w:val="single" w:sz="4" w:space="0" w:color="7EB1E6"/>
              <w:bottom w:val="single" w:sz="4" w:space="0" w:color="7EB1E6"/>
              <w:right w:val="single" w:sz="4" w:space="0" w:color="7EB1E6"/>
            </w:tcBorders>
          </w:tcPr>
          <w:p w14:paraId="034C690E" w14:textId="77777777" w:rsidR="00086021" w:rsidRDefault="009E19AB">
            <w:pPr>
              <w:pStyle w:val="TableContents"/>
              <w:numPr>
                <w:ilvl w:val="0"/>
                <w:numId w:val="10"/>
              </w:numPr>
            </w:pPr>
            <w:r>
              <w:t>Build capacity among stakeholders on accountability for PFM systems</w:t>
            </w:r>
          </w:p>
        </w:tc>
        <w:tc>
          <w:tcPr>
            <w:tcW w:w="2208" w:type="dxa"/>
            <w:tcBorders>
              <w:top w:val="single" w:sz="4" w:space="0" w:color="7EB1E6"/>
              <w:left w:val="single" w:sz="4" w:space="0" w:color="7EB1E6"/>
              <w:bottom w:val="single" w:sz="4" w:space="0" w:color="7EB1E6"/>
              <w:right w:val="single" w:sz="4" w:space="0" w:color="7EB1E6"/>
            </w:tcBorders>
          </w:tcPr>
          <w:p w14:paraId="2566F190" w14:textId="77777777" w:rsidR="00086021" w:rsidRDefault="009E19AB">
            <w:pPr>
              <w:pStyle w:val="TableContents"/>
            </w:pPr>
            <w:r>
              <w:t>Government, Donors, CSO</w:t>
            </w:r>
          </w:p>
        </w:tc>
      </w:tr>
      <w:tr w:rsidR="00086021" w14:paraId="4D0171B2" w14:textId="77777777">
        <w:trPr>
          <w:trHeight w:val="810"/>
        </w:trPr>
        <w:tc>
          <w:tcPr>
            <w:tcW w:w="7507" w:type="dxa"/>
            <w:tcBorders>
              <w:top w:val="single" w:sz="4" w:space="0" w:color="7EB1E6"/>
              <w:left w:val="single" w:sz="4" w:space="0" w:color="7EB1E6"/>
              <w:bottom w:val="single" w:sz="4" w:space="0" w:color="7EB1E6"/>
              <w:right w:val="single" w:sz="4" w:space="0" w:color="7EB1E6"/>
            </w:tcBorders>
            <w:shd w:val="clear" w:color="auto" w:fill="8ACC8E"/>
          </w:tcPr>
          <w:p w14:paraId="3E6F9DF1" w14:textId="77777777" w:rsidR="00086021" w:rsidRDefault="009E19AB">
            <w:pPr>
              <w:pStyle w:val="TableContents"/>
              <w:numPr>
                <w:ilvl w:val="0"/>
                <w:numId w:val="10"/>
              </w:numPr>
            </w:pPr>
            <w:r>
              <w:t>Facilitate collective coordination amongst the key stakeholders and the existing systems for synergy in strengthening accountability.</w:t>
            </w:r>
          </w:p>
        </w:tc>
        <w:tc>
          <w:tcPr>
            <w:tcW w:w="2208" w:type="dxa"/>
            <w:tcBorders>
              <w:top w:val="single" w:sz="4" w:space="0" w:color="7EB1E6"/>
              <w:left w:val="single" w:sz="4" w:space="0" w:color="7EB1E6"/>
              <w:bottom w:val="single" w:sz="4" w:space="0" w:color="7EB1E6"/>
              <w:right w:val="single" w:sz="4" w:space="0" w:color="7EB1E6"/>
            </w:tcBorders>
            <w:shd w:val="clear" w:color="auto" w:fill="8ACC8E"/>
          </w:tcPr>
          <w:p w14:paraId="5B0AEBB5" w14:textId="77777777" w:rsidR="00086021" w:rsidRDefault="009E19AB">
            <w:pPr>
              <w:pStyle w:val="TableContents"/>
            </w:pPr>
            <w:r>
              <w:t>Government, Donors, CSO</w:t>
            </w:r>
          </w:p>
        </w:tc>
      </w:tr>
      <w:tr w:rsidR="00086021" w14:paraId="548C9F67" w14:textId="77777777">
        <w:trPr>
          <w:trHeight w:val="1160"/>
        </w:trPr>
        <w:tc>
          <w:tcPr>
            <w:tcW w:w="7507" w:type="dxa"/>
            <w:tcBorders>
              <w:top w:val="single" w:sz="4" w:space="0" w:color="7EB1E6"/>
              <w:left w:val="single" w:sz="4" w:space="0" w:color="7EB1E6"/>
              <w:bottom w:val="single" w:sz="4" w:space="0" w:color="7EB1E6"/>
              <w:right w:val="single" w:sz="4" w:space="0" w:color="7EB1E6"/>
            </w:tcBorders>
          </w:tcPr>
          <w:p w14:paraId="4B738591" w14:textId="76CDA8C4" w:rsidR="00086021" w:rsidRDefault="009E19AB">
            <w:pPr>
              <w:pStyle w:val="TableContents"/>
              <w:numPr>
                <w:ilvl w:val="0"/>
                <w:numId w:val="10"/>
              </w:numPr>
            </w:pPr>
            <w:r>
              <w:t>Build capacity among KPs and AGYW to enable them to tap into available resources and for better civic engagement. Such skills and themes should include:</w:t>
            </w:r>
            <w:r>
              <w:br/>
              <w:t xml:space="preserve">i. Proposal development and resource </w:t>
            </w:r>
            <w:proofErr w:type="spellStart"/>
            <w:r w:rsidR="00C80431">
              <w:t>mobilisation</w:t>
            </w:r>
            <w:proofErr w:type="spellEnd"/>
            <w:r>
              <w:t>.</w:t>
            </w:r>
          </w:p>
          <w:p w14:paraId="29D7E597" w14:textId="77777777" w:rsidR="00086021" w:rsidRDefault="009E19AB">
            <w:pPr>
              <w:pStyle w:val="TableContents"/>
            </w:pPr>
            <w:r>
              <w:t>ii. Civic education on devolution, legislative processes (national and county level), public participation.</w:t>
            </w:r>
          </w:p>
        </w:tc>
        <w:tc>
          <w:tcPr>
            <w:tcW w:w="2208" w:type="dxa"/>
            <w:tcBorders>
              <w:top w:val="single" w:sz="4" w:space="0" w:color="7EB1E6"/>
              <w:left w:val="single" w:sz="4" w:space="0" w:color="7EB1E6"/>
              <w:bottom w:val="single" w:sz="4" w:space="0" w:color="7EB1E6"/>
              <w:right w:val="single" w:sz="4" w:space="0" w:color="7EB1E6"/>
            </w:tcBorders>
          </w:tcPr>
          <w:p w14:paraId="5A8FAA7F" w14:textId="77777777" w:rsidR="00086021" w:rsidRDefault="009E19AB">
            <w:pPr>
              <w:pStyle w:val="TableContents"/>
            </w:pPr>
            <w:r>
              <w:t>Government, Donors, CSO</w:t>
            </w:r>
          </w:p>
        </w:tc>
      </w:tr>
      <w:tr w:rsidR="00086021" w14:paraId="72E6A31D" w14:textId="77777777">
        <w:trPr>
          <w:trHeight w:val="638"/>
        </w:trPr>
        <w:tc>
          <w:tcPr>
            <w:tcW w:w="7507" w:type="dxa"/>
            <w:tcBorders>
              <w:top w:val="single" w:sz="4" w:space="0" w:color="7EB1E6"/>
              <w:left w:val="single" w:sz="4" w:space="0" w:color="7EB1E6"/>
              <w:bottom w:val="single" w:sz="4" w:space="0" w:color="7EB1E6"/>
              <w:right w:val="single" w:sz="4" w:space="0" w:color="7EB1E6"/>
            </w:tcBorders>
            <w:shd w:val="clear" w:color="auto" w:fill="8ACC8E"/>
          </w:tcPr>
          <w:p w14:paraId="31CC2762" w14:textId="77777777" w:rsidR="00086021" w:rsidRDefault="009E19AB">
            <w:pPr>
              <w:pStyle w:val="TableContents"/>
              <w:numPr>
                <w:ilvl w:val="0"/>
                <w:numId w:val="10"/>
              </w:numPr>
            </w:pPr>
            <w:r>
              <w:t>Facilitate advocacy for KPs to broaden their interests beyond their specific access needs and actively engage in their civic duty as citizens</w:t>
            </w:r>
          </w:p>
        </w:tc>
        <w:tc>
          <w:tcPr>
            <w:tcW w:w="2208" w:type="dxa"/>
            <w:tcBorders>
              <w:top w:val="single" w:sz="4" w:space="0" w:color="7EB1E6"/>
              <w:left w:val="single" w:sz="4" w:space="0" w:color="7EB1E6"/>
              <w:bottom w:val="single" w:sz="4" w:space="0" w:color="7EB1E6"/>
              <w:right w:val="single" w:sz="4" w:space="0" w:color="7EB1E6"/>
            </w:tcBorders>
            <w:shd w:val="clear" w:color="auto" w:fill="8ACC8E"/>
          </w:tcPr>
          <w:p w14:paraId="000FA2D6" w14:textId="77777777" w:rsidR="00086021" w:rsidRDefault="009E19AB">
            <w:pPr>
              <w:pStyle w:val="TableContents"/>
            </w:pPr>
            <w:r>
              <w:t>Government, Donors, CSO</w:t>
            </w:r>
          </w:p>
        </w:tc>
      </w:tr>
      <w:tr w:rsidR="00086021" w14:paraId="49CB4A71" w14:textId="77777777">
        <w:trPr>
          <w:trHeight w:val="560"/>
        </w:trPr>
        <w:tc>
          <w:tcPr>
            <w:tcW w:w="7507" w:type="dxa"/>
            <w:tcBorders>
              <w:top w:val="single" w:sz="4" w:space="0" w:color="7EB1E6"/>
              <w:left w:val="single" w:sz="4" w:space="0" w:color="7EB1E6"/>
              <w:bottom w:val="single" w:sz="4" w:space="0" w:color="7EB1E6"/>
              <w:right w:val="single" w:sz="4" w:space="0" w:color="7EB1E6"/>
            </w:tcBorders>
          </w:tcPr>
          <w:p w14:paraId="150C724C" w14:textId="77777777" w:rsidR="00086021" w:rsidRDefault="009E19AB">
            <w:pPr>
              <w:pStyle w:val="TableContents"/>
              <w:numPr>
                <w:ilvl w:val="0"/>
                <w:numId w:val="10"/>
              </w:numPr>
            </w:pPr>
            <w:r>
              <w:t>Build capacity on use of IFMIS at all levels.</w:t>
            </w:r>
          </w:p>
        </w:tc>
        <w:tc>
          <w:tcPr>
            <w:tcW w:w="2208" w:type="dxa"/>
            <w:tcBorders>
              <w:top w:val="single" w:sz="4" w:space="0" w:color="7EB1E6"/>
              <w:left w:val="single" w:sz="4" w:space="0" w:color="7EB1E6"/>
              <w:bottom w:val="single" w:sz="4" w:space="0" w:color="7EB1E6"/>
              <w:right w:val="single" w:sz="4" w:space="0" w:color="7EB1E6"/>
            </w:tcBorders>
          </w:tcPr>
          <w:p w14:paraId="198977F2" w14:textId="77777777" w:rsidR="00086021" w:rsidRDefault="009E19AB">
            <w:pPr>
              <w:pStyle w:val="TableContents"/>
            </w:pPr>
            <w:r>
              <w:t>Government (Treasury), Donors, CSO</w:t>
            </w:r>
          </w:p>
        </w:tc>
      </w:tr>
      <w:tr w:rsidR="00086021" w14:paraId="619FE8A4" w14:textId="77777777">
        <w:trPr>
          <w:trHeight w:val="560"/>
        </w:trPr>
        <w:tc>
          <w:tcPr>
            <w:tcW w:w="7507" w:type="dxa"/>
            <w:tcBorders>
              <w:top w:val="single" w:sz="4" w:space="0" w:color="7EB1E6"/>
              <w:left w:val="single" w:sz="4" w:space="0" w:color="7EB1E6"/>
              <w:bottom w:val="single" w:sz="4" w:space="0" w:color="7EB1E6"/>
              <w:right w:val="single" w:sz="4" w:space="0" w:color="7EB1E6"/>
            </w:tcBorders>
            <w:shd w:val="clear" w:color="auto" w:fill="8ACC8E"/>
          </w:tcPr>
          <w:p w14:paraId="16F3AE7D" w14:textId="77777777" w:rsidR="00086021" w:rsidRDefault="009E19AB">
            <w:pPr>
              <w:pStyle w:val="TableContents"/>
              <w:numPr>
                <w:ilvl w:val="0"/>
                <w:numId w:val="10"/>
              </w:numPr>
            </w:pPr>
            <w:r>
              <w:t>Facilitate regular IFMIS system improvements to limit manipulation and ensure integration at requisite levels.</w:t>
            </w:r>
          </w:p>
        </w:tc>
        <w:tc>
          <w:tcPr>
            <w:tcW w:w="2208" w:type="dxa"/>
            <w:tcBorders>
              <w:top w:val="single" w:sz="4" w:space="0" w:color="7EB1E6"/>
              <w:left w:val="single" w:sz="4" w:space="0" w:color="7EB1E6"/>
              <w:bottom w:val="single" w:sz="4" w:space="0" w:color="7EB1E6"/>
              <w:right w:val="single" w:sz="4" w:space="0" w:color="7EB1E6"/>
            </w:tcBorders>
            <w:shd w:val="clear" w:color="auto" w:fill="8ACC8E"/>
          </w:tcPr>
          <w:p w14:paraId="1D79B84B" w14:textId="77777777" w:rsidR="00086021" w:rsidRDefault="009E19AB">
            <w:pPr>
              <w:pStyle w:val="TableContents"/>
            </w:pPr>
            <w:r>
              <w:t>Government (Treasury), Donors, CSO</w:t>
            </w:r>
          </w:p>
        </w:tc>
      </w:tr>
      <w:tr w:rsidR="00086021" w14:paraId="2C952598" w14:textId="77777777">
        <w:trPr>
          <w:trHeight w:val="560"/>
        </w:trPr>
        <w:tc>
          <w:tcPr>
            <w:tcW w:w="7507" w:type="dxa"/>
            <w:tcBorders>
              <w:top w:val="single" w:sz="4" w:space="0" w:color="7EB1E6"/>
              <w:left w:val="single" w:sz="4" w:space="0" w:color="7EB1E6"/>
              <w:bottom w:val="single" w:sz="4" w:space="0" w:color="7EB1E6"/>
              <w:right w:val="single" w:sz="4" w:space="0" w:color="7EB1E6"/>
            </w:tcBorders>
          </w:tcPr>
          <w:p w14:paraId="4EACBBC9" w14:textId="77777777" w:rsidR="00086021" w:rsidRDefault="009E19AB">
            <w:pPr>
              <w:pStyle w:val="TableContents"/>
              <w:numPr>
                <w:ilvl w:val="0"/>
                <w:numId w:val="10"/>
              </w:numPr>
            </w:pPr>
            <w:proofErr w:type="spellStart"/>
            <w:r>
              <w:t>Incentivise</w:t>
            </w:r>
            <w:proofErr w:type="spellEnd"/>
            <w:r>
              <w:t xml:space="preserve"> implementation of IFMIS at user level.</w:t>
            </w:r>
          </w:p>
        </w:tc>
        <w:tc>
          <w:tcPr>
            <w:tcW w:w="2208" w:type="dxa"/>
            <w:tcBorders>
              <w:top w:val="single" w:sz="4" w:space="0" w:color="7EB1E6"/>
              <w:left w:val="single" w:sz="4" w:space="0" w:color="7EB1E6"/>
              <w:bottom w:val="single" w:sz="4" w:space="0" w:color="7EB1E6"/>
              <w:right w:val="single" w:sz="4" w:space="0" w:color="7EB1E6"/>
            </w:tcBorders>
          </w:tcPr>
          <w:p w14:paraId="53ACF08D" w14:textId="77777777" w:rsidR="00086021" w:rsidRDefault="009E19AB">
            <w:pPr>
              <w:pStyle w:val="TableContents"/>
            </w:pPr>
            <w:r>
              <w:t>Government (Treasury), Donors, CSO</w:t>
            </w:r>
          </w:p>
        </w:tc>
      </w:tr>
    </w:tbl>
    <w:p w14:paraId="70CFFFEC" w14:textId="77777777" w:rsidR="00086021" w:rsidRDefault="00086021">
      <w:pPr>
        <w:ind w:left="360"/>
        <w:jc w:val="both"/>
        <w:rPr>
          <w:rFonts w:eastAsia="Arial" w:cs="Arial"/>
          <w:color w:val="2E75B5"/>
          <w:sz w:val="24"/>
        </w:rPr>
      </w:pPr>
    </w:p>
    <w:p w14:paraId="7699FA6A" w14:textId="77777777" w:rsidR="00086021" w:rsidRDefault="00086021"/>
    <w:p w14:paraId="0C28B41D" w14:textId="77777777" w:rsidR="00086021" w:rsidRDefault="00086021"/>
    <w:p w14:paraId="10927CE7" w14:textId="77777777" w:rsidR="00086021" w:rsidRDefault="009E19AB">
      <w:r>
        <w:br w:type="page"/>
      </w:r>
    </w:p>
    <w:p w14:paraId="5ECE5E84" w14:textId="77777777" w:rsidR="00086021" w:rsidRDefault="009E19AB">
      <w:pPr>
        <w:pStyle w:val="Heading2"/>
      </w:pPr>
      <w:bookmarkStart w:id="47" w:name="_Toc56997964"/>
      <w:r>
        <w:lastRenderedPageBreak/>
        <w:t>6. Conclusion</w:t>
      </w:r>
      <w:bookmarkEnd w:id="47"/>
    </w:p>
    <w:p w14:paraId="2E0CDB6D" w14:textId="77777777" w:rsidR="00086021" w:rsidRDefault="00086021"/>
    <w:p w14:paraId="3E4AA689" w14:textId="77777777" w:rsidR="00086021" w:rsidRDefault="009E19AB" w:rsidP="0055011C">
      <w:pPr>
        <w:pStyle w:val="BodyText"/>
        <w:jc w:val="both"/>
        <w:rPr>
          <w:sz w:val="20"/>
          <w:szCs w:val="20"/>
        </w:rPr>
      </w:pPr>
      <w:r>
        <w:rPr>
          <w:sz w:val="20"/>
          <w:szCs w:val="20"/>
        </w:rPr>
        <w:t xml:space="preserve">The progressive decline in donor funding for health- specifically for HIV, KP and AGYW interventions which are heavily donor dependent in Kenya- necessitates strategic increase in domestic resource allocation to health to guarantee continuity of care and sustainability of respective interventions. Advocacy for an enabling environment for DRM thus remains a priority with a focus on strengthening macro-economic determinants, budget prioritization of health, </w:t>
      </w:r>
      <w:proofErr w:type="gramStart"/>
      <w:r>
        <w:rPr>
          <w:sz w:val="20"/>
          <w:szCs w:val="20"/>
        </w:rPr>
        <w:t>efficiency</w:t>
      </w:r>
      <w:proofErr w:type="gramEnd"/>
      <w:r>
        <w:rPr>
          <w:sz w:val="20"/>
          <w:szCs w:val="20"/>
        </w:rPr>
        <w:t xml:space="preserve"> and accountability in resource utilization in health, alongside equity and inclusivity. Additionally, </w:t>
      </w:r>
      <w:proofErr w:type="gramStart"/>
      <w:r>
        <w:rPr>
          <w:sz w:val="20"/>
          <w:szCs w:val="20"/>
        </w:rPr>
        <w:t>meaningful</w:t>
      </w:r>
      <w:proofErr w:type="gramEnd"/>
      <w:r>
        <w:rPr>
          <w:sz w:val="20"/>
          <w:szCs w:val="20"/>
        </w:rPr>
        <w:t xml:space="preserve"> and impactful advocacy must derive from and build evidence, must speak to priorities within the political economy, and must be driven by the interests of the communities in focus.</w:t>
      </w:r>
    </w:p>
    <w:p w14:paraId="50E3A99D" w14:textId="77777777" w:rsidR="00086021" w:rsidRDefault="00086021"/>
    <w:p w14:paraId="48EECFB1" w14:textId="77777777" w:rsidR="00086021" w:rsidRDefault="00086021"/>
    <w:p w14:paraId="0CA2831C" w14:textId="77777777" w:rsidR="00086021" w:rsidRDefault="00086021"/>
    <w:p w14:paraId="518C796D" w14:textId="77777777" w:rsidR="00086021" w:rsidRDefault="00086021"/>
    <w:p w14:paraId="151B238A" w14:textId="77777777" w:rsidR="00086021" w:rsidRDefault="00086021"/>
    <w:p w14:paraId="4D2F2FE9" w14:textId="77777777" w:rsidR="00086021" w:rsidRDefault="00086021"/>
    <w:p w14:paraId="264DE220" w14:textId="77777777" w:rsidR="00086021" w:rsidRDefault="00086021"/>
    <w:p w14:paraId="14E8AF5B" w14:textId="77777777" w:rsidR="00086021" w:rsidRDefault="00086021"/>
    <w:p w14:paraId="3D9C05B5" w14:textId="77777777" w:rsidR="00086021" w:rsidRDefault="00086021"/>
    <w:p w14:paraId="2593CDD1" w14:textId="77777777" w:rsidR="00086021" w:rsidRDefault="00086021"/>
    <w:p w14:paraId="324B9555" w14:textId="77777777" w:rsidR="00086021" w:rsidRDefault="00086021"/>
    <w:p w14:paraId="18AC9F85" w14:textId="77777777" w:rsidR="00086021" w:rsidRDefault="00086021"/>
    <w:p w14:paraId="3170694A" w14:textId="77777777" w:rsidR="00086021" w:rsidRDefault="00086021"/>
    <w:p w14:paraId="408409A9" w14:textId="77777777" w:rsidR="00086021" w:rsidRDefault="00086021"/>
    <w:p w14:paraId="247360B4" w14:textId="77777777" w:rsidR="00086021" w:rsidRDefault="00086021"/>
    <w:p w14:paraId="795197BA" w14:textId="77777777" w:rsidR="00086021" w:rsidRDefault="00086021"/>
    <w:p w14:paraId="4A36BF91" w14:textId="77777777" w:rsidR="00086021" w:rsidRDefault="00086021"/>
    <w:p w14:paraId="31600767" w14:textId="77777777" w:rsidR="00086021" w:rsidRDefault="00086021"/>
    <w:p w14:paraId="4C08B935" w14:textId="77777777" w:rsidR="00086021" w:rsidRDefault="00086021"/>
    <w:p w14:paraId="05B60857" w14:textId="77777777" w:rsidR="00086021" w:rsidRDefault="00086021"/>
    <w:p w14:paraId="336A9C2A" w14:textId="77777777" w:rsidR="00086021" w:rsidRDefault="00086021"/>
    <w:p w14:paraId="1BF5D7B1" w14:textId="77777777" w:rsidR="00086021" w:rsidRDefault="00086021"/>
    <w:p w14:paraId="41607260" w14:textId="77777777" w:rsidR="00086021" w:rsidRDefault="00086021"/>
    <w:p w14:paraId="2C1094E2" w14:textId="77777777" w:rsidR="00086021" w:rsidRDefault="00086021"/>
    <w:p w14:paraId="132C6AEF" w14:textId="77777777" w:rsidR="00086021" w:rsidRDefault="00086021"/>
    <w:p w14:paraId="2A0F1B95" w14:textId="77777777" w:rsidR="00086021" w:rsidRDefault="00086021"/>
    <w:p w14:paraId="20A1E4EB" w14:textId="77777777" w:rsidR="00086021" w:rsidRDefault="00086021"/>
    <w:p w14:paraId="7DD7D147" w14:textId="77777777" w:rsidR="00086021" w:rsidRDefault="00086021"/>
    <w:p w14:paraId="5B847CB0" w14:textId="77777777" w:rsidR="00086021" w:rsidRDefault="00086021"/>
    <w:p w14:paraId="04B05B5C" w14:textId="77777777" w:rsidR="00086021" w:rsidRDefault="00086021"/>
    <w:p w14:paraId="7CAD8FB7" w14:textId="77777777" w:rsidR="00086021" w:rsidRDefault="00086021"/>
    <w:p w14:paraId="296F61A2" w14:textId="77777777" w:rsidR="00086021" w:rsidRDefault="00086021"/>
    <w:p w14:paraId="31014AF6" w14:textId="77777777" w:rsidR="00086021" w:rsidRDefault="00086021"/>
    <w:p w14:paraId="19A5814F" w14:textId="77777777" w:rsidR="00086021" w:rsidRDefault="00086021"/>
    <w:p w14:paraId="7D5E612D" w14:textId="77777777" w:rsidR="00086021" w:rsidRDefault="00086021"/>
    <w:p w14:paraId="28C3055E" w14:textId="77777777" w:rsidR="00086021" w:rsidRDefault="00086021"/>
    <w:p w14:paraId="5CB1B11A" w14:textId="77777777" w:rsidR="00086021" w:rsidRDefault="00086021"/>
    <w:p w14:paraId="27E41700" w14:textId="77777777" w:rsidR="00086021" w:rsidRDefault="00086021"/>
    <w:p w14:paraId="74532BB2" w14:textId="77777777" w:rsidR="00086021" w:rsidRDefault="00086021"/>
    <w:p w14:paraId="35C03D8E" w14:textId="77777777" w:rsidR="00086021" w:rsidRDefault="00086021"/>
    <w:p w14:paraId="2B064E06" w14:textId="77777777" w:rsidR="00086021" w:rsidRDefault="00086021"/>
    <w:p w14:paraId="2BEC0310" w14:textId="77777777" w:rsidR="00086021" w:rsidRDefault="00086021"/>
    <w:p w14:paraId="183E5036" w14:textId="77777777" w:rsidR="00086021" w:rsidRDefault="00086021"/>
    <w:p w14:paraId="2997E177" w14:textId="77777777" w:rsidR="00086021" w:rsidRDefault="00086021"/>
    <w:p w14:paraId="42B14E66" w14:textId="77777777" w:rsidR="00086021" w:rsidRDefault="00086021"/>
    <w:p w14:paraId="2719736D" w14:textId="77777777" w:rsidR="00086021" w:rsidRDefault="00086021"/>
    <w:p w14:paraId="166DE44F" w14:textId="77777777" w:rsidR="00086021" w:rsidRDefault="00086021"/>
    <w:p w14:paraId="10DC57A9" w14:textId="77777777" w:rsidR="00086021" w:rsidRDefault="00086021"/>
    <w:p w14:paraId="701BA145" w14:textId="77777777" w:rsidR="00086021" w:rsidRDefault="00086021"/>
    <w:p w14:paraId="6F06BAB7" w14:textId="77777777" w:rsidR="00086021" w:rsidRDefault="00086021"/>
    <w:p w14:paraId="7035F8FC" w14:textId="77777777" w:rsidR="00086021" w:rsidRDefault="00086021"/>
    <w:p w14:paraId="619DDB26" w14:textId="77777777" w:rsidR="00086021" w:rsidRDefault="00086021"/>
    <w:p w14:paraId="7FED2787" w14:textId="77777777" w:rsidR="00086021" w:rsidRDefault="00086021"/>
    <w:p w14:paraId="4812675E" w14:textId="77777777" w:rsidR="00086021" w:rsidRDefault="009E19AB">
      <w:r>
        <w:br w:type="page"/>
      </w:r>
    </w:p>
    <w:p w14:paraId="05146EC6" w14:textId="77777777" w:rsidR="00086021" w:rsidRDefault="009E19AB">
      <w:pPr>
        <w:pStyle w:val="Heading2"/>
      </w:pPr>
      <w:r>
        <w:lastRenderedPageBreak/>
        <w:t>References</w:t>
      </w:r>
    </w:p>
    <w:p w14:paraId="7BEA4B70" w14:textId="77777777" w:rsidR="00086021" w:rsidRDefault="00086021"/>
    <w:p w14:paraId="665CF9A7" w14:textId="3FDA252E" w:rsidR="00086021" w:rsidRDefault="009E19AB">
      <w:pPr>
        <w:pStyle w:val="Bibliography"/>
        <w:rPr>
          <w:rFonts w:eastAsia="Abadi Extra Light" w:cs="Arial"/>
          <w:szCs w:val="18"/>
        </w:rPr>
      </w:pPr>
      <w:r w:rsidRPr="0055011C">
        <w:rPr>
          <w:rFonts w:eastAsia="Abadi Extra Light" w:cs="Arial"/>
          <w:szCs w:val="18"/>
        </w:rPr>
        <w:t>Afrocave, 2020; The Process Of Sharing National Revenue In Kenya: (</w:t>
      </w:r>
      <w:hyperlink r:id="rId56">
        <w:r w:rsidRPr="0055011C">
          <w:rPr>
            <w:rFonts w:eastAsia="Abadi Extra Light" w:cs="Arial"/>
            <w:szCs w:val="18"/>
            <w:u w:val="single"/>
          </w:rPr>
          <w:t>https://www.afrocave.com/vertical-process-of-sharing-national-revenue-kenya/</w:t>
        </w:r>
      </w:hyperlink>
      <w:r w:rsidRPr="0055011C">
        <w:rPr>
          <w:rFonts w:eastAsia="Abadi Extra Light" w:cs="Arial"/>
          <w:szCs w:val="18"/>
        </w:rPr>
        <w:t>)</w:t>
      </w:r>
      <w:bookmarkStart w:id="48" w:name="_Hlk56990298"/>
      <w:bookmarkEnd w:id="48"/>
    </w:p>
    <w:p w14:paraId="2ED12D9A" w14:textId="77777777" w:rsidR="0055011C" w:rsidRPr="0055011C" w:rsidRDefault="0055011C" w:rsidP="0055011C"/>
    <w:p w14:paraId="17E26026" w14:textId="4707FC38" w:rsidR="00086021" w:rsidRDefault="009E19AB">
      <w:pPr>
        <w:pStyle w:val="Bibliography"/>
        <w:rPr>
          <w:rFonts w:cs="Arial"/>
          <w:szCs w:val="18"/>
        </w:rPr>
      </w:pPr>
      <w:r w:rsidRPr="0055011C">
        <w:rPr>
          <w:rFonts w:cs="Arial"/>
          <w:szCs w:val="18"/>
        </w:rPr>
        <w:t xml:space="preserve">Allison, D., </w:t>
      </w:r>
      <w:proofErr w:type="spellStart"/>
      <w:r w:rsidRPr="0055011C">
        <w:rPr>
          <w:rFonts w:cs="Arial"/>
          <w:szCs w:val="18"/>
        </w:rPr>
        <w:t>Kizub</w:t>
      </w:r>
      <w:proofErr w:type="spellEnd"/>
      <w:r w:rsidRPr="0055011C">
        <w:rPr>
          <w:rFonts w:cs="Arial"/>
          <w:szCs w:val="18"/>
        </w:rPr>
        <w:t xml:space="preserve">, D. A., Cabanes, A., </w:t>
      </w:r>
      <w:proofErr w:type="spellStart"/>
      <w:r w:rsidRPr="0055011C">
        <w:rPr>
          <w:rFonts w:cs="Arial"/>
          <w:szCs w:val="18"/>
        </w:rPr>
        <w:t>Nakigudde</w:t>
      </w:r>
      <w:proofErr w:type="spellEnd"/>
      <w:r w:rsidRPr="0055011C">
        <w:rPr>
          <w:rFonts w:cs="Arial"/>
          <w:szCs w:val="18"/>
        </w:rPr>
        <w:t xml:space="preserve">, G., Aguilar, B., </w:t>
      </w:r>
      <w:proofErr w:type="spellStart"/>
      <w:r w:rsidRPr="0055011C">
        <w:rPr>
          <w:rFonts w:cs="Arial"/>
          <w:szCs w:val="18"/>
        </w:rPr>
        <w:t>Zujewski</w:t>
      </w:r>
      <w:proofErr w:type="spellEnd"/>
      <w:r w:rsidRPr="0055011C">
        <w:rPr>
          <w:rFonts w:cs="Arial"/>
          <w:szCs w:val="18"/>
        </w:rPr>
        <w:t xml:space="preserve">, J. A., . . . </w:t>
      </w:r>
      <w:proofErr w:type="spellStart"/>
      <w:r w:rsidRPr="0055011C">
        <w:rPr>
          <w:rFonts w:cs="Arial"/>
          <w:szCs w:val="18"/>
        </w:rPr>
        <w:t>Gralow</w:t>
      </w:r>
      <w:proofErr w:type="spellEnd"/>
      <w:r w:rsidRPr="0055011C">
        <w:rPr>
          <w:rFonts w:cs="Arial"/>
          <w:szCs w:val="18"/>
        </w:rPr>
        <w:t>., J. R. (2020). Breast cancer patient advocacy: A qualitative study of the challenges and opportunities for civil society organizations in low</w:t>
      </w:r>
      <w:r w:rsidRPr="0055011C">
        <w:rPr>
          <w:rFonts w:ascii="Cambria Math" w:hAnsi="Cambria Math" w:cs="Cambria Math"/>
          <w:szCs w:val="18"/>
        </w:rPr>
        <w:t>‐</w:t>
      </w:r>
      <w:r w:rsidRPr="0055011C">
        <w:rPr>
          <w:rFonts w:cs="Arial"/>
          <w:szCs w:val="18"/>
        </w:rPr>
        <w:t>income and middle</w:t>
      </w:r>
      <w:r w:rsidRPr="0055011C">
        <w:rPr>
          <w:rFonts w:ascii="Cambria Math" w:hAnsi="Cambria Math" w:cs="Cambria Math"/>
          <w:szCs w:val="18"/>
        </w:rPr>
        <w:t>‐</w:t>
      </w:r>
      <w:r w:rsidRPr="0055011C">
        <w:rPr>
          <w:rFonts w:cs="Arial"/>
          <w:szCs w:val="18"/>
        </w:rPr>
        <w:t xml:space="preserve">income countries. </w:t>
      </w:r>
      <w:r w:rsidRPr="0055011C">
        <w:rPr>
          <w:rFonts w:cs="Arial"/>
          <w:i/>
          <w:iCs/>
          <w:szCs w:val="18"/>
        </w:rPr>
        <w:t>Cancer, 126</w:t>
      </w:r>
      <w:r w:rsidRPr="0055011C">
        <w:rPr>
          <w:rFonts w:cs="Arial"/>
          <w:szCs w:val="18"/>
        </w:rPr>
        <w:t>(S10), 2439-2447.</w:t>
      </w:r>
    </w:p>
    <w:p w14:paraId="1863BAFA" w14:textId="77777777" w:rsidR="0055011C" w:rsidRPr="0055011C" w:rsidRDefault="0055011C" w:rsidP="0055011C"/>
    <w:p w14:paraId="628F5B88" w14:textId="51C31D10" w:rsidR="00086021" w:rsidRDefault="009E19AB">
      <w:pPr>
        <w:pStyle w:val="Bibliography"/>
        <w:rPr>
          <w:rFonts w:eastAsia="Abadi Extra Light" w:cs="Arial"/>
          <w:szCs w:val="18"/>
        </w:rPr>
      </w:pPr>
      <w:r w:rsidRPr="0055011C">
        <w:rPr>
          <w:rFonts w:eastAsia="Abadi Extra Light" w:cs="Arial"/>
          <w:i/>
          <w:szCs w:val="18"/>
        </w:rPr>
        <w:t>All the Key Stages in the Budget Process in Kenya</w:t>
      </w:r>
      <w:r w:rsidRPr="0055011C">
        <w:rPr>
          <w:rFonts w:eastAsia="Abadi Extra Light" w:cs="Arial"/>
          <w:szCs w:val="18"/>
        </w:rPr>
        <w:t xml:space="preserve">. (n.d.). Retrieved August 26, 2020, from </w:t>
      </w:r>
      <w:hyperlink r:id="rId57" w:history="1">
        <w:r w:rsidR="0055011C" w:rsidRPr="00560727">
          <w:rPr>
            <w:rStyle w:val="Hyperlink"/>
            <w:rFonts w:eastAsia="Abadi Extra Light" w:cs="Arial"/>
            <w:szCs w:val="18"/>
          </w:rPr>
          <w:t>https://www.afrocave.com/budget-process-in-kenya/</w:t>
        </w:r>
      </w:hyperlink>
    </w:p>
    <w:p w14:paraId="7AAE06F8" w14:textId="77777777" w:rsidR="0055011C" w:rsidRPr="0055011C" w:rsidRDefault="0055011C" w:rsidP="0055011C"/>
    <w:p w14:paraId="30B7666B" w14:textId="7ED3BB2A" w:rsidR="00086021" w:rsidRDefault="009E19AB">
      <w:pPr>
        <w:pStyle w:val="Bibliography"/>
        <w:rPr>
          <w:rFonts w:eastAsia="Abadi Extra Light" w:cs="Arial"/>
          <w:szCs w:val="18"/>
        </w:rPr>
      </w:pPr>
      <w:r w:rsidRPr="0055011C">
        <w:rPr>
          <w:rFonts w:eastAsia="Abadi Extra Light" w:cs="Arial"/>
          <w:szCs w:val="18"/>
        </w:rPr>
        <w:t xml:space="preserve">Barasa, E. W., Cleary, S., Molyneux, S., &amp; English, M. (2017). Setting healthcare priorities: A description and evaluation of the budgeting and planning process in county hospitals in Kenya. </w:t>
      </w:r>
      <w:r w:rsidRPr="0055011C">
        <w:rPr>
          <w:rFonts w:eastAsia="Abadi Extra Light" w:cs="Arial"/>
          <w:i/>
          <w:szCs w:val="18"/>
        </w:rPr>
        <w:t>Health Policy and Planning</w:t>
      </w:r>
      <w:r w:rsidRPr="0055011C">
        <w:rPr>
          <w:rFonts w:eastAsia="Abadi Extra Light" w:cs="Arial"/>
          <w:szCs w:val="18"/>
        </w:rPr>
        <w:t xml:space="preserve">, </w:t>
      </w:r>
      <w:r w:rsidRPr="0055011C">
        <w:rPr>
          <w:rFonts w:eastAsia="Abadi Extra Light" w:cs="Arial"/>
          <w:i/>
          <w:szCs w:val="18"/>
        </w:rPr>
        <w:t>32</w:t>
      </w:r>
      <w:r w:rsidRPr="0055011C">
        <w:rPr>
          <w:rFonts w:eastAsia="Abadi Extra Light" w:cs="Arial"/>
          <w:szCs w:val="18"/>
        </w:rPr>
        <w:t xml:space="preserve">(3), 329–337. </w:t>
      </w:r>
      <w:hyperlink r:id="rId58" w:history="1">
        <w:r w:rsidR="0055011C" w:rsidRPr="00560727">
          <w:rPr>
            <w:rStyle w:val="Hyperlink"/>
            <w:rFonts w:eastAsia="Abadi Extra Light" w:cs="Arial"/>
            <w:szCs w:val="18"/>
          </w:rPr>
          <w:t>https://doi.org/10.1093/heapol/czw132</w:t>
        </w:r>
      </w:hyperlink>
    </w:p>
    <w:p w14:paraId="5879FC90" w14:textId="77777777" w:rsidR="0055011C" w:rsidRPr="0055011C" w:rsidRDefault="0055011C" w:rsidP="0055011C"/>
    <w:p w14:paraId="06E0F3F0" w14:textId="46637059" w:rsidR="00086021" w:rsidRDefault="009E19AB">
      <w:pPr>
        <w:pStyle w:val="Bibliography"/>
        <w:rPr>
          <w:rFonts w:eastAsia="Abadi Extra Light" w:cs="Arial"/>
          <w:szCs w:val="18"/>
        </w:rPr>
      </w:pPr>
      <w:r w:rsidRPr="0055011C">
        <w:rPr>
          <w:rFonts w:eastAsia="Abadi Extra Light" w:cs="Arial"/>
          <w:szCs w:val="18"/>
        </w:rPr>
        <w:t xml:space="preserve">Barasa Edwine, Rogo Khama, Mwaura Njeri, Chuma Jane. (2016). Kenya National Insurance Fund Reforms: Implications and Lessons for Universal Health Coverage. </w:t>
      </w:r>
      <w:r w:rsidRPr="0055011C">
        <w:rPr>
          <w:rFonts w:eastAsia="Abadi Extra Light" w:cs="Arial"/>
          <w:i/>
          <w:szCs w:val="18"/>
        </w:rPr>
        <w:t>Health Systems &amp; Reform</w:t>
      </w:r>
      <w:r w:rsidRPr="0055011C">
        <w:rPr>
          <w:rFonts w:eastAsia="Abadi Extra Light" w:cs="Arial"/>
          <w:szCs w:val="18"/>
        </w:rPr>
        <w:t>.</w:t>
      </w:r>
    </w:p>
    <w:p w14:paraId="6FD9D741" w14:textId="77777777" w:rsidR="0055011C" w:rsidRPr="0055011C" w:rsidRDefault="0055011C" w:rsidP="0055011C"/>
    <w:p w14:paraId="7EFAE239" w14:textId="1323B90D" w:rsidR="00086021" w:rsidRDefault="009E19AB">
      <w:pPr>
        <w:pStyle w:val="Bibliography"/>
        <w:rPr>
          <w:rFonts w:eastAsia="Abadi Extra Light" w:cs="Arial"/>
          <w:szCs w:val="18"/>
        </w:rPr>
      </w:pPr>
      <w:r w:rsidRPr="0055011C">
        <w:rPr>
          <w:rFonts w:eastAsia="Abadi Extra Light" w:cs="Arial"/>
          <w:szCs w:val="18"/>
        </w:rPr>
        <w:t xml:space="preserve">Brinkerhoff, D. W. (2004). Accountability and health systems: toward conceptual clarity and policy relevance. </w:t>
      </w:r>
      <w:r w:rsidRPr="0055011C">
        <w:rPr>
          <w:rFonts w:eastAsia="Abadi Extra Light" w:cs="Arial"/>
          <w:i/>
          <w:szCs w:val="18"/>
        </w:rPr>
        <w:t>Health Policy and Planning, 19</w:t>
      </w:r>
      <w:r w:rsidRPr="0055011C">
        <w:rPr>
          <w:rFonts w:eastAsia="Abadi Extra Light" w:cs="Arial"/>
          <w:szCs w:val="18"/>
        </w:rPr>
        <w:t>(6), 371–379.</w:t>
      </w:r>
    </w:p>
    <w:p w14:paraId="5C7ED281" w14:textId="77777777" w:rsidR="0055011C" w:rsidRPr="0055011C" w:rsidRDefault="0055011C" w:rsidP="0055011C"/>
    <w:p w14:paraId="79C5B311" w14:textId="085E9434" w:rsidR="00086021" w:rsidRDefault="009E19AB">
      <w:pPr>
        <w:pStyle w:val="Bibliography"/>
        <w:rPr>
          <w:rFonts w:eastAsia="Abadi Extra Light" w:cs="Arial"/>
          <w:szCs w:val="18"/>
        </w:rPr>
      </w:pPr>
      <w:r w:rsidRPr="0055011C">
        <w:rPr>
          <w:rFonts w:eastAsia="Abadi Extra Light" w:cs="Arial"/>
          <w:szCs w:val="18"/>
        </w:rPr>
        <w:t xml:space="preserve">Carrin, G., &amp; James, C. (2005). Key Performance Indicators for the implementation of Social Health Insurance. </w:t>
      </w:r>
      <w:r w:rsidRPr="0055011C">
        <w:rPr>
          <w:rFonts w:eastAsia="Abadi Extra Light" w:cs="Arial"/>
          <w:i/>
          <w:szCs w:val="18"/>
        </w:rPr>
        <w:t>Applied Health Economics and Health Policy, 4</w:t>
      </w:r>
      <w:r w:rsidRPr="0055011C">
        <w:rPr>
          <w:rFonts w:eastAsia="Abadi Extra Light" w:cs="Arial"/>
          <w:szCs w:val="18"/>
        </w:rPr>
        <w:t>(1), 15-22. Retrieved August 5, 2020</w:t>
      </w:r>
    </w:p>
    <w:p w14:paraId="2F68539A" w14:textId="77777777" w:rsidR="0055011C" w:rsidRPr="0055011C" w:rsidRDefault="0055011C" w:rsidP="0055011C"/>
    <w:p w14:paraId="307397E0" w14:textId="30DF6DC1" w:rsidR="00086021" w:rsidRDefault="009E19AB">
      <w:pPr>
        <w:pStyle w:val="Bibliography"/>
        <w:rPr>
          <w:rFonts w:cs="Arial"/>
          <w:szCs w:val="18"/>
        </w:rPr>
      </w:pPr>
      <w:bookmarkStart w:id="49" w:name="_Hlk56989569"/>
      <w:r w:rsidRPr="0055011C">
        <w:rPr>
          <w:rFonts w:cs="Arial"/>
          <w:szCs w:val="18"/>
        </w:rPr>
        <w:t>Chuma, J., &amp; Maina, T. (2012). Catastrophic health care spending and impoverishment in Kenya. BMC health services research, 12(1), 413.</w:t>
      </w:r>
      <w:bookmarkEnd w:id="49"/>
    </w:p>
    <w:p w14:paraId="06826540" w14:textId="77777777" w:rsidR="0055011C" w:rsidRPr="0055011C" w:rsidRDefault="0055011C" w:rsidP="0055011C"/>
    <w:p w14:paraId="5D963A39" w14:textId="5372FD73" w:rsidR="00086021" w:rsidRDefault="009E19AB">
      <w:pPr>
        <w:pStyle w:val="Bibliography"/>
        <w:rPr>
          <w:rFonts w:cs="Arial"/>
          <w:szCs w:val="18"/>
        </w:rPr>
      </w:pPr>
      <w:r w:rsidRPr="0055011C">
        <w:rPr>
          <w:rFonts w:cs="Arial"/>
          <w:szCs w:val="18"/>
        </w:rPr>
        <w:t xml:space="preserve">Chuma J, Okungu V. Viewing the Kenyan health system through an equity lens: implications for universal coverage. Int J Equity Health. 2011 May </w:t>
      </w:r>
      <w:proofErr w:type="gramStart"/>
      <w:r w:rsidRPr="0055011C">
        <w:rPr>
          <w:rFonts w:cs="Arial"/>
          <w:szCs w:val="18"/>
        </w:rPr>
        <w:t>26;10:22</w:t>
      </w:r>
      <w:proofErr w:type="gramEnd"/>
      <w:r w:rsidRPr="0055011C">
        <w:rPr>
          <w:rFonts w:cs="Arial"/>
          <w:szCs w:val="18"/>
        </w:rPr>
        <w:t>. doi: 10.1186/1475-9276-10-22. PMID: 21612669; PMCID: PMC3129586.</w:t>
      </w:r>
    </w:p>
    <w:p w14:paraId="7D71FD44" w14:textId="77777777" w:rsidR="0055011C" w:rsidRPr="0055011C" w:rsidRDefault="0055011C" w:rsidP="0055011C"/>
    <w:p w14:paraId="67449258" w14:textId="72B39D16" w:rsidR="00086021" w:rsidRDefault="009E19AB">
      <w:pPr>
        <w:pStyle w:val="Bibliography"/>
        <w:rPr>
          <w:rFonts w:eastAsia="Abadi Extra Light" w:cs="Arial"/>
          <w:szCs w:val="18"/>
        </w:rPr>
      </w:pPr>
      <w:r w:rsidRPr="0055011C">
        <w:rPr>
          <w:rFonts w:eastAsia="Abadi Extra Light" w:cs="Arial"/>
          <w:i/>
          <w:szCs w:val="18"/>
        </w:rPr>
        <w:t>Commission on Revenue Allocation — Promoting an equitable society</w:t>
      </w:r>
      <w:r w:rsidRPr="0055011C">
        <w:rPr>
          <w:rFonts w:eastAsia="Abadi Extra Light" w:cs="Arial"/>
          <w:szCs w:val="18"/>
        </w:rPr>
        <w:t xml:space="preserve">. (n.d.). Retrieved August 3, 2020, from </w:t>
      </w:r>
      <w:hyperlink r:id="rId59" w:history="1">
        <w:r w:rsidR="0055011C" w:rsidRPr="00560727">
          <w:rPr>
            <w:rStyle w:val="Hyperlink"/>
            <w:rFonts w:eastAsia="Abadi Extra Light" w:cs="Arial"/>
            <w:szCs w:val="18"/>
          </w:rPr>
          <w:t>https://www.crakenya.org/</w:t>
        </w:r>
      </w:hyperlink>
    </w:p>
    <w:p w14:paraId="4A3EAAE5" w14:textId="77777777" w:rsidR="0055011C" w:rsidRPr="0055011C" w:rsidRDefault="0055011C" w:rsidP="0055011C"/>
    <w:p w14:paraId="4CAF1A8D" w14:textId="20158A28" w:rsidR="00086021" w:rsidRDefault="009E19AB">
      <w:pPr>
        <w:pStyle w:val="Bibliography"/>
        <w:rPr>
          <w:rFonts w:eastAsia="Abadi Extra Light" w:cs="Arial"/>
          <w:szCs w:val="18"/>
        </w:rPr>
      </w:pPr>
      <w:r w:rsidRPr="0055011C">
        <w:rPr>
          <w:rFonts w:eastAsia="Abadi Extra Light" w:cs="Arial"/>
          <w:i/>
          <w:szCs w:val="18"/>
        </w:rPr>
        <w:t>COMMISSION ON REVENUE ALLOCATION RECOMMENDATION CONCERNING THE THIRD BASIS FOR REVENUE SHARING AMONG COUNTY GOVERNMENTS</w:t>
      </w:r>
      <w:r w:rsidRPr="0055011C">
        <w:rPr>
          <w:rFonts w:eastAsia="Abadi Extra Light" w:cs="Arial"/>
          <w:szCs w:val="18"/>
        </w:rPr>
        <w:t>. (n.d.).</w:t>
      </w:r>
    </w:p>
    <w:p w14:paraId="7561DE0B" w14:textId="77777777" w:rsidR="0055011C" w:rsidRPr="0055011C" w:rsidRDefault="0055011C" w:rsidP="0055011C"/>
    <w:p w14:paraId="749A723B" w14:textId="46905112" w:rsidR="00086021" w:rsidRDefault="009E19AB">
      <w:pPr>
        <w:pStyle w:val="Bibliography"/>
        <w:rPr>
          <w:rFonts w:cs="Arial"/>
          <w:szCs w:val="18"/>
        </w:rPr>
      </w:pPr>
      <w:r w:rsidRPr="0055011C">
        <w:rPr>
          <w:rFonts w:cs="Arial"/>
          <w:szCs w:val="18"/>
        </w:rPr>
        <w:t xml:space="preserve">Court, J., </w:t>
      </w:r>
      <w:proofErr w:type="spellStart"/>
      <w:r w:rsidRPr="0055011C">
        <w:rPr>
          <w:rFonts w:cs="Arial"/>
          <w:szCs w:val="18"/>
        </w:rPr>
        <w:t>Hovland</w:t>
      </w:r>
      <w:proofErr w:type="spellEnd"/>
      <w:r w:rsidRPr="0055011C">
        <w:rPr>
          <w:rFonts w:cs="Arial"/>
          <w:szCs w:val="18"/>
        </w:rPr>
        <w:t xml:space="preserve">, I., &amp; Young, J. (2005). </w:t>
      </w:r>
      <w:r w:rsidRPr="0055011C">
        <w:rPr>
          <w:rFonts w:cs="Arial"/>
          <w:i/>
          <w:iCs/>
          <w:szCs w:val="18"/>
        </w:rPr>
        <w:t>Bridging Research and Policy in Development: evidence.</w:t>
      </w:r>
      <w:r w:rsidRPr="0055011C">
        <w:rPr>
          <w:rFonts w:cs="Arial"/>
          <w:szCs w:val="18"/>
        </w:rPr>
        <w:t xml:space="preserve"> </w:t>
      </w:r>
      <w:proofErr w:type="spellStart"/>
      <w:r w:rsidRPr="0055011C">
        <w:rPr>
          <w:rFonts w:cs="Arial"/>
          <w:szCs w:val="18"/>
        </w:rPr>
        <w:t>Rubgy</w:t>
      </w:r>
      <w:proofErr w:type="spellEnd"/>
      <w:r w:rsidRPr="0055011C">
        <w:rPr>
          <w:rFonts w:cs="Arial"/>
          <w:szCs w:val="18"/>
        </w:rPr>
        <w:t>, Warwickshire: ITDG Publishing.</w:t>
      </w:r>
    </w:p>
    <w:p w14:paraId="2982E9CB" w14:textId="77777777" w:rsidR="0055011C" w:rsidRPr="0055011C" w:rsidRDefault="0055011C" w:rsidP="0055011C"/>
    <w:p w14:paraId="641D278F" w14:textId="1E4FEAD0" w:rsidR="00086021" w:rsidRDefault="009E19AB">
      <w:pPr>
        <w:pStyle w:val="Bibliography"/>
        <w:rPr>
          <w:rFonts w:cs="Arial"/>
          <w:szCs w:val="18"/>
        </w:rPr>
      </w:pPr>
      <w:r w:rsidRPr="0055011C">
        <w:rPr>
          <w:rFonts w:cs="Arial"/>
          <w:szCs w:val="18"/>
        </w:rPr>
        <w:t>Dang, D. Y. (2013). Revenue allocation and economic development in Nigeria: An empirical study. SAGE Open, 3(3), 2158244013505602.</w:t>
      </w:r>
    </w:p>
    <w:p w14:paraId="7AEFEDC6" w14:textId="77777777" w:rsidR="0055011C" w:rsidRPr="0055011C" w:rsidRDefault="0055011C" w:rsidP="0055011C"/>
    <w:p w14:paraId="4D8388F7" w14:textId="1FDB8ED8" w:rsidR="00086021" w:rsidRDefault="009E19AB">
      <w:pPr>
        <w:pStyle w:val="Bibliography"/>
        <w:rPr>
          <w:rFonts w:eastAsia="Abadi Extra Light" w:cs="Arial"/>
          <w:szCs w:val="18"/>
        </w:rPr>
      </w:pPr>
      <w:r w:rsidRPr="0055011C">
        <w:rPr>
          <w:rFonts w:eastAsia="Abadi Extra Light" w:cs="Arial"/>
          <w:i/>
          <w:szCs w:val="18"/>
        </w:rPr>
        <w:t>Division of Revenue and Allocation of Revenue in Kenya</w:t>
      </w:r>
      <w:r w:rsidRPr="0055011C">
        <w:rPr>
          <w:rFonts w:eastAsia="Abadi Extra Light" w:cs="Arial"/>
          <w:szCs w:val="18"/>
        </w:rPr>
        <w:t xml:space="preserve">. (n.d.). Retrieved August 26, 2020, from </w:t>
      </w:r>
      <w:hyperlink r:id="rId60" w:history="1">
        <w:r w:rsidR="0055011C" w:rsidRPr="00560727">
          <w:rPr>
            <w:rStyle w:val="Hyperlink"/>
            <w:rFonts w:eastAsia="Abadi Extra Light" w:cs="Arial"/>
            <w:szCs w:val="18"/>
          </w:rPr>
          <w:t>https://www.afrocave.com/division-of-revenue-and-allocation-of-revenue-in-kenya/</w:t>
        </w:r>
      </w:hyperlink>
    </w:p>
    <w:p w14:paraId="4888F123" w14:textId="77777777" w:rsidR="0055011C" w:rsidRPr="0055011C" w:rsidRDefault="0055011C" w:rsidP="0055011C"/>
    <w:p w14:paraId="4A2A5AC6" w14:textId="2E61C39B" w:rsidR="00086021" w:rsidRDefault="009E19AB">
      <w:pPr>
        <w:pStyle w:val="Bibliography"/>
        <w:rPr>
          <w:rFonts w:cs="Arial"/>
          <w:szCs w:val="18"/>
        </w:rPr>
      </w:pPr>
      <w:r w:rsidRPr="0055011C">
        <w:rPr>
          <w:rFonts w:cs="Arial"/>
          <w:szCs w:val="18"/>
        </w:rPr>
        <w:t>Djomand G, Quaye S, Sullivan PS. HIV epidemic among key populations in west Africa. Curr Opin HIV AIDS. 2014 Sep;9(5):506-13. doi: 10.1097/COH.0000000000000090. PMID: 25010898; PMCID: PMC4804351.</w:t>
      </w:r>
    </w:p>
    <w:p w14:paraId="7799D4D1" w14:textId="77777777" w:rsidR="0055011C" w:rsidRPr="0055011C" w:rsidRDefault="0055011C" w:rsidP="0055011C"/>
    <w:p w14:paraId="55E93F1C" w14:textId="63864904" w:rsidR="00086021" w:rsidRDefault="009E19AB">
      <w:pPr>
        <w:pStyle w:val="Bibliography"/>
        <w:rPr>
          <w:rFonts w:cs="Arial"/>
          <w:szCs w:val="18"/>
        </w:rPr>
      </w:pPr>
      <w:r w:rsidRPr="0055011C">
        <w:rPr>
          <w:rFonts w:cs="Arial"/>
          <w:szCs w:val="18"/>
        </w:rPr>
        <w:t xml:space="preserve">Farrer, L., Marinetti, C., Cavaco, Y. K., &amp; </w:t>
      </w:r>
      <w:proofErr w:type="spellStart"/>
      <w:r w:rsidRPr="0055011C">
        <w:rPr>
          <w:rFonts w:cs="Arial"/>
          <w:szCs w:val="18"/>
        </w:rPr>
        <w:t>Costongs</w:t>
      </w:r>
      <w:proofErr w:type="spellEnd"/>
      <w:r w:rsidRPr="0055011C">
        <w:rPr>
          <w:rFonts w:cs="Arial"/>
          <w:szCs w:val="18"/>
        </w:rPr>
        <w:t xml:space="preserve">, C. (2015). Advocacy for Health Equity: A Synthesis Review. </w:t>
      </w:r>
      <w:r w:rsidRPr="0055011C">
        <w:rPr>
          <w:rFonts w:cs="Arial"/>
          <w:i/>
          <w:iCs/>
          <w:szCs w:val="18"/>
        </w:rPr>
        <w:t>The Milbank Quarterly, 93</w:t>
      </w:r>
      <w:r w:rsidRPr="0055011C">
        <w:rPr>
          <w:rFonts w:cs="Arial"/>
          <w:szCs w:val="18"/>
        </w:rPr>
        <w:t>(2), 392-437.</w:t>
      </w:r>
    </w:p>
    <w:p w14:paraId="31ABF84B" w14:textId="77777777" w:rsidR="0055011C" w:rsidRPr="0055011C" w:rsidRDefault="0055011C" w:rsidP="0055011C"/>
    <w:p w14:paraId="70270590" w14:textId="2D6126EB" w:rsidR="00086021" w:rsidRDefault="009E19AB">
      <w:pPr>
        <w:pStyle w:val="Bibliography"/>
        <w:rPr>
          <w:rFonts w:cs="Arial"/>
          <w:szCs w:val="18"/>
        </w:rPr>
      </w:pPr>
      <w:r w:rsidRPr="0055011C">
        <w:rPr>
          <w:rFonts w:cs="Arial"/>
          <w:szCs w:val="18"/>
        </w:rPr>
        <w:t>Gotsadze G, Chikovani I, Sulaberidze L, Gotsadze T, Goguadze K, Tavanxhi N. The Challenges of Transition From Donor-Funded Programs: Results From a Theory-Driven Multi-Country Comparative Case Study of Programs in Eastern Europe and Central Asia</w:t>
      </w:r>
    </w:p>
    <w:p w14:paraId="031EDEC4" w14:textId="77777777" w:rsidR="0055011C" w:rsidRPr="0055011C" w:rsidRDefault="0055011C" w:rsidP="0055011C"/>
    <w:p w14:paraId="240D50D6" w14:textId="71E1FD70" w:rsidR="00086021" w:rsidRDefault="009E19AB">
      <w:pPr>
        <w:pStyle w:val="Bibliography"/>
        <w:rPr>
          <w:rFonts w:cs="Arial"/>
          <w:szCs w:val="18"/>
        </w:rPr>
      </w:pPr>
      <w:r w:rsidRPr="0055011C">
        <w:rPr>
          <w:rFonts w:cs="Arial"/>
          <w:szCs w:val="18"/>
        </w:rPr>
        <w:t>Supported by the Global Fund. Glob Health Sci Pract. 2019 Jun 27;7(2):258-272. doi: 10.9745/GHSP-D-18-00425. PMID: 31249022; PMCID: PMC6641812.</w:t>
      </w:r>
    </w:p>
    <w:p w14:paraId="05C4AFDF" w14:textId="77777777" w:rsidR="0055011C" w:rsidRPr="0055011C" w:rsidRDefault="0055011C" w:rsidP="0055011C"/>
    <w:p w14:paraId="2DE2EE65" w14:textId="13DE5F95" w:rsidR="00086021" w:rsidRDefault="009E19AB">
      <w:pPr>
        <w:pStyle w:val="Bibliography"/>
        <w:rPr>
          <w:rFonts w:cs="Arial"/>
          <w:szCs w:val="18"/>
        </w:rPr>
      </w:pPr>
      <w:proofErr w:type="spellStart"/>
      <w:r w:rsidRPr="0055011C">
        <w:rPr>
          <w:rFonts w:cs="Arial"/>
          <w:szCs w:val="18"/>
        </w:rPr>
        <w:t>Hailegebriel</w:t>
      </w:r>
      <w:proofErr w:type="spellEnd"/>
      <w:r w:rsidRPr="0055011C">
        <w:rPr>
          <w:rFonts w:cs="Arial"/>
          <w:szCs w:val="18"/>
        </w:rPr>
        <w:t xml:space="preserve">, D. (2010). Restrictions on Foreign Funding of Civil Society. </w:t>
      </w:r>
      <w:r w:rsidRPr="0055011C">
        <w:rPr>
          <w:rFonts w:cs="Arial"/>
          <w:i/>
          <w:iCs/>
          <w:szCs w:val="18"/>
        </w:rPr>
        <w:t>The International Journal of Not-for-Profit Law, 12</w:t>
      </w:r>
      <w:r w:rsidRPr="0055011C">
        <w:rPr>
          <w:rFonts w:cs="Arial"/>
          <w:szCs w:val="18"/>
        </w:rPr>
        <w:t>(3).</w:t>
      </w:r>
    </w:p>
    <w:p w14:paraId="55058EE0" w14:textId="77777777" w:rsidR="0055011C" w:rsidRPr="0055011C" w:rsidRDefault="0055011C" w:rsidP="0055011C"/>
    <w:p w14:paraId="75E06B8F" w14:textId="77777777" w:rsidR="00086021" w:rsidRPr="0055011C" w:rsidRDefault="009E19AB">
      <w:pPr>
        <w:pStyle w:val="Bibliography"/>
        <w:rPr>
          <w:rFonts w:cs="Arial"/>
          <w:szCs w:val="18"/>
        </w:rPr>
      </w:pPr>
      <w:r w:rsidRPr="0055011C">
        <w:rPr>
          <w:rFonts w:eastAsia="Abadi Extra Light" w:cs="Arial"/>
          <w:szCs w:val="18"/>
        </w:rPr>
        <w:t xml:space="preserve">Health Financing Project. (2016). </w:t>
      </w:r>
      <w:r w:rsidRPr="0055011C">
        <w:rPr>
          <w:rFonts w:eastAsia="Abadi Extra Light" w:cs="Arial"/>
          <w:i/>
          <w:szCs w:val="18"/>
        </w:rPr>
        <w:t>Health Financing Profile, Kenya.</w:t>
      </w:r>
      <w:r w:rsidRPr="0055011C">
        <w:rPr>
          <w:rFonts w:eastAsia="Abadi Extra Light" w:cs="Arial"/>
          <w:szCs w:val="18"/>
        </w:rPr>
        <w:t xml:space="preserve"> Washington DC: Health Policy Project.</w:t>
      </w:r>
    </w:p>
    <w:p w14:paraId="3D8B491B" w14:textId="5147069C" w:rsidR="00086021" w:rsidRDefault="009E19AB">
      <w:pPr>
        <w:pStyle w:val="Bibliography"/>
        <w:rPr>
          <w:rFonts w:cs="Arial"/>
          <w:szCs w:val="18"/>
        </w:rPr>
      </w:pPr>
      <w:r w:rsidRPr="0055011C">
        <w:rPr>
          <w:rFonts w:cs="Arial"/>
          <w:szCs w:val="18"/>
        </w:rPr>
        <w:t>“Institute of Economic Affairs.” [Online]. Available: https://www.ieakenya.or.ke/number_of_the_week/kenyaa-s-comparison-of-out-of-pocket-expenditure-on-health-with-its-peers. [Accessed: 10-Aug-2020].</w:t>
      </w:r>
    </w:p>
    <w:p w14:paraId="2CD56358" w14:textId="77777777" w:rsidR="0055011C" w:rsidRPr="0055011C" w:rsidRDefault="0055011C" w:rsidP="0055011C"/>
    <w:p w14:paraId="238069E7" w14:textId="1150E430" w:rsidR="00086021" w:rsidRDefault="009E19AB">
      <w:pPr>
        <w:pStyle w:val="Bibliography"/>
        <w:rPr>
          <w:rFonts w:cs="Arial"/>
          <w:szCs w:val="18"/>
        </w:rPr>
      </w:pPr>
      <w:r w:rsidRPr="0055011C">
        <w:rPr>
          <w:rFonts w:cs="Arial"/>
          <w:szCs w:val="18"/>
        </w:rPr>
        <w:lastRenderedPageBreak/>
        <w:t xml:space="preserve">International Center for Not-for-Profit Law. (2019). </w:t>
      </w:r>
      <w:r w:rsidRPr="0055011C">
        <w:rPr>
          <w:rFonts w:cs="Arial"/>
          <w:i/>
          <w:iCs/>
          <w:szCs w:val="18"/>
        </w:rPr>
        <w:t>Nonprofit Law In Kenya.</w:t>
      </w:r>
      <w:r w:rsidRPr="0055011C">
        <w:rPr>
          <w:rFonts w:cs="Arial"/>
          <w:szCs w:val="18"/>
        </w:rPr>
        <w:t xml:space="preserve"> </w:t>
      </w:r>
    </w:p>
    <w:p w14:paraId="674EC845" w14:textId="77777777" w:rsidR="0055011C" w:rsidRPr="0055011C" w:rsidRDefault="0055011C" w:rsidP="0055011C"/>
    <w:p w14:paraId="106B7546" w14:textId="51F116D6" w:rsidR="00086021" w:rsidRDefault="009E19AB">
      <w:pPr>
        <w:pStyle w:val="Bibliography"/>
        <w:rPr>
          <w:rFonts w:cs="Arial"/>
          <w:szCs w:val="18"/>
        </w:rPr>
      </w:pPr>
      <w:r w:rsidRPr="0055011C">
        <w:rPr>
          <w:rFonts w:cs="Arial"/>
          <w:szCs w:val="18"/>
        </w:rPr>
        <w:t xml:space="preserve">Houérou, L., Taliercio, P., &amp; Robert. (2002). Medium term expenditure </w:t>
      </w:r>
      <w:r w:rsidR="0055011C" w:rsidRPr="0055011C">
        <w:rPr>
          <w:rFonts w:cs="Arial"/>
          <w:szCs w:val="18"/>
        </w:rPr>
        <w:t>frameworks:</w:t>
      </w:r>
      <w:r w:rsidRPr="0055011C">
        <w:rPr>
          <w:rFonts w:cs="Arial"/>
          <w:szCs w:val="18"/>
        </w:rPr>
        <w:t xml:space="preserve"> from concept to practice - preliminary lessons from Africa.</w:t>
      </w:r>
    </w:p>
    <w:p w14:paraId="68214A2F" w14:textId="77777777" w:rsidR="0055011C" w:rsidRPr="0055011C" w:rsidRDefault="0055011C" w:rsidP="0055011C"/>
    <w:p w14:paraId="057EB44F" w14:textId="6027E1BC" w:rsidR="00086021" w:rsidRDefault="009E19AB">
      <w:pPr>
        <w:pStyle w:val="Bibliography"/>
        <w:rPr>
          <w:rFonts w:cs="Arial"/>
          <w:szCs w:val="18"/>
        </w:rPr>
      </w:pPr>
      <w:r w:rsidRPr="0055011C">
        <w:rPr>
          <w:rFonts w:cs="Arial"/>
          <w:szCs w:val="18"/>
        </w:rPr>
        <w:t>Kamau, N., &amp; Njiru, H. (2014). Community based health insurance schemes: lessons from rural Kenya. Journal of Health Care for the Poor and Underserved, 25(1), 192-203.</w:t>
      </w:r>
    </w:p>
    <w:p w14:paraId="750BE261" w14:textId="77777777" w:rsidR="0055011C" w:rsidRPr="0055011C" w:rsidRDefault="0055011C" w:rsidP="0055011C"/>
    <w:p w14:paraId="68D7DED0" w14:textId="7A7EA33F" w:rsidR="00086021" w:rsidRDefault="009E19AB">
      <w:pPr>
        <w:pStyle w:val="Bibliography"/>
        <w:rPr>
          <w:rFonts w:eastAsia="Abadi Extra Light" w:cs="Arial"/>
          <w:szCs w:val="18"/>
        </w:rPr>
      </w:pPr>
      <w:r w:rsidRPr="0055011C">
        <w:rPr>
          <w:rFonts w:eastAsia="Abadi Extra Light" w:cs="Arial"/>
          <w:szCs w:val="18"/>
        </w:rPr>
        <w:t xml:space="preserve">Kanthor, J., Seligman, B., Dereje, T., &amp; Tarantino, L. (2014). </w:t>
      </w:r>
      <w:r w:rsidRPr="0055011C">
        <w:rPr>
          <w:rFonts w:eastAsia="Abadi Extra Light" w:cs="Arial"/>
          <w:i/>
          <w:szCs w:val="18"/>
        </w:rPr>
        <w:t>Engaging Civil Society in Health Finance and Governance: A Guide for Practitioners.</w:t>
      </w:r>
      <w:r w:rsidRPr="0055011C">
        <w:rPr>
          <w:rFonts w:eastAsia="Abadi Extra Light" w:cs="Arial"/>
          <w:szCs w:val="18"/>
        </w:rPr>
        <w:t xml:space="preserve"> Health Finance and Governance. Retrieved from </w:t>
      </w:r>
      <w:hyperlink r:id="rId61" w:history="1">
        <w:r w:rsidR="00B30196" w:rsidRPr="00560727">
          <w:rPr>
            <w:rStyle w:val="Hyperlink"/>
            <w:rFonts w:eastAsia="Abadi Extra Light" w:cs="Arial"/>
            <w:szCs w:val="18"/>
          </w:rPr>
          <w:t>https://www.hfgproject.org/engaging-civil-society-in-health-finance-and-governance-a-guide-for-practitioners/</w:t>
        </w:r>
      </w:hyperlink>
    </w:p>
    <w:p w14:paraId="7723FF75" w14:textId="77777777" w:rsidR="00B30196" w:rsidRPr="00B30196" w:rsidRDefault="00B30196" w:rsidP="00B30196"/>
    <w:p w14:paraId="3C8BC088" w14:textId="5755927D" w:rsidR="00086021" w:rsidRDefault="009E19AB">
      <w:pPr>
        <w:pStyle w:val="Bibliography"/>
        <w:rPr>
          <w:rFonts w:eastAsia="Abadi Extra Light" w:cs="Arial"/>
          <w:szCs w:val="18"/>
        </w:rPr>
      </w:pPr>
      <w:r w:rsidRPr="0055011C">
        <w:rPr>
          <w:rFonts w:eastAsia="Abadi Extra Light" w:cs="Arial"/>
          <w:i/>
          <w:szCs w:val="18"/>
        </w:rPr>
        <w:t>Kenyan Constitution, Chapter Twelve, Part 1, Article 201 to 203</w:t>
      </w:r>
      <w:r w:rsidRPr="0055011C">
        <w:rPr>
          <w:rFonts w:eastAsia="Abadi Extra Light" w:cs="Arial"/>
          <w:szCs w:val="18"/>
        </w:rPr>
        <w:t xml:space="preserve">. (n.d.). Retrieved August 26, 2020, from </w:t>
      </w:r>
      <w:hyperlink r:id="rId62" w:history="1">
        <w:r w:rsidR="00B30196" w:rsidRPr="00560727">
          <w:rPr>
            <w:rStyle w:val="Hyperlink"/>
            <w:rFonts w:eastAsia="Abadi Extra Light" w:cs="Arial"/>
            <w:szCs w:val="18"/>
          </w:rPr>
          <w:t>https://sokodirectory.com/2016/11/kenyan-constitution-chapter-twelve-part-1-article-201-203/</w:t>
        </w:r>
      </w:hyperlink>
    </w:p>
    <w:p w14:paraId="517F16CA" w14:textId="77777777" w:rsidR="00B30196" w:rsidRPr="00B30196" w:rsidRDefault="00B30196" w:rsidP="00B30196"/>
    <w:p w14:paraId="5865FB9E" w14:textId="5D593F1C" w:rsidR="00086021" w:rsidRDefault="009E19AB">
      <w:pPr>
        <w:pStyle w:val="Bibliography"/>
        <w:rPr>
          <w:rFonts w:cs="Arial"/>
          <w:szCs w:val="18"/>
        </w:rPr>
      </w:pPr>
      <w:r w:rsidRPr="0055011C">
        <w:rPr>
          <w:rFonts w:cs="Arial"/>
          <w:szCs w:val="18"/>
        </w:rPr>
        <w:t>Maina, T., Akumu, A., &amp; Muchiri, S. (2016). Kenya County health accounts: summary of findings from 12 pilot counties. Futures Group, Health Policy Project.</w:t>
      </w:r>
    </w:p>
    <w:p w14:paraId="43D700FE" w14:textId="77777777" w:rsidR="00B30196" w:rsidRPr="00B30196" w:rsidRDefault="00B30196" w:rsidP="00B30196"/>
    <w:p w14:paraId="5B72D0E9" w14:textId="2A4DF8BA" w:rsidR="00086021" w:rsidRDefault="009E19AB">
      <w:pPr>
        <w:pStyle w:val="Bibliography"/>
        <w:rPr>
          <w:rFonts w:cs="Arial"/>
          <w:szCs w:val="18"/>
        </w:rPr>
      </w:pPr>
      <w:r w:rsidRPr="0055011C">
        <w:rPr>
          <w:rFonts w:cs="Arial"/>
          <w:szCs w:val="18"/>
        </w:rPr>
        <w:t>Mbau, R., Barasa, E., Munge, K., Mulupi, S., Nguhiu, P. K., &amp; Chuma, J. (2018). A critical analysis of health care purchasing arrangements in Kenya: A case study of the county departments of health. The International Journal of Health Planning and Management, 33(4), 1159-1177.</w:t>
      </w:r>
    </w:p>
    <w:p w14:paraId="0C4BB2FE" w14:textId="77777777" w:rsidR="00B30196" w:rsidRPr="00B30196" w:rsidRDefault="00B30196" w:rsidP="00B30196"/>
    <w:p w14:paraId="5EC565CA" w14:textId="16D526DB" w:rsidR="00086021" w:rsidRDefault="009E19AB">
      <w:pPr>
        <w:pStyle w:val="Bibliography"/>
        <w:rPr>
          <w:rFonts w:cs="Arial"/>
          <w:szCs w:val="18"/>
        </w:rPr>
      </w:pPr>
      <w:r w:rsidRPr="0055011C">
        <w:rPr>
          <w:rFonts w:cs="Arial"/>
          <w:szCs w:val="18"/>
        </w:rPr>
        <w:t>McIntyre D, Meheus F. Fiscal space for domestic funding of health and other social services. Working Group on Financing, Paper 5. London: Chatham House, 2014. (</w:t>
      </w:r>
      <w:hyperlink r:id="rId63" w:history="1">
        <w:r w:rsidR="00B30196" w:rsidRPr="00560727">
          <w:rPr>
            <w:rStyle w:val="Hyperlink"/>
            <w:rFonts w:cs="Arial"/>
            <w:szCs w:val="18"/>
          </w:rPr>
          <w:t>https://www.chathamhouse.org/publications/papers/view/198263</w:t>
        </w:r>
      </w:hyperlink>
      <w:r w:rsidRPr="0055011C">
        <w:rPr>
          <w:rFonts w:cs="Arial"/>
          <w:szCs w:val="18"/>
        </w:rPr>
        <w:t>)</w:t>
      </w:r>
    </w:p>
    <w:p w14:paraId="5DA18DB4" w14:textId="77777777" w:rsidR="00B30196" w:rsidRPr="00B30196" w:rsidRDefault="00B30196" w:rsidP="00B30196"/>
    <w:p w14:paraId="55DEECD8" w14:textId="66008822" w:rsidR="00086021" w:rsidRDefault="009E19AB">
      <w:pPr>
        <w:pStyle w:val="Bibliography"/>
        <w:rPr>
          <w:rFonts w:eastAsia="Abadi Extra Light" w:cs="Arial"/>
          <w:szCs w:val="18"/>
        </w:rPr>
      </w:pPr>
      <w:r w:rsidRPr="0055011C">
        <w:rPr>
          <w:rFonts w:eastAsia="Abadi Extra Light" w:cs="Arial"/>
          <w:szCs w:val="18"/>
        </w:rPr>
        <w:t xml:space="preserve">Ministry of Health. (2016). </w:t>
      </w:r>
      <w:r w:rsidRPr="0055011C">
        <w:rPr>
          <w:rFonts w:eastAsia="Abadi Extra Light" w:cs="Arial"/>
          <w:i/>
          <w:szCs w:val="18"/>
        </w:rPr>
        <w:t>Health Sector Working Group Report. Medium Term Expenditure Framework for the period 2017-18 to 2019-20.</w:t>
      </w:r>
      <w:r w:rsidRPr="0055011C">
        <w:rPr>
          <w:rFonts w:eastAsia="Abadi Extra Light" w:cs="Arial"/>
          <w:szCs w:val="18"/>
        </w:rPr>
        <w:t xml:space="preserve"> Nairobi: Ministry of Health, Government of Kenya.</w:t>
      </w:r>
    </w:p>
    <w:p w14:paraId="3D736C8C" w14:textId="77777777" w:rsidR="00B30196" w:rsidRPr="00B30196" w:rsidRDefault="00B30196" w:rsidP="00B30196"/>
    <w:p w14:paraId="6430FAF9" w14:textId="77777777" w:rsidR="00086021" w:rsidRPr="0055011C" w:rsidRDefault="009E19AB">
      <w:pPr>
        <w:pStyle w:val="Bibliography"/>
        <w:rPr>
          <w:rFonts w:cs="Arial"/>
          <w:szCs w:val="18"/>
        </w:rPr>
      </w:pPr>
      <w:r w:rsidRPr="0055011C">
        <w:rPr>
          <w:rFonts w:cs="Arial"/>
          <w:szCs w:val="18"/>
        </w:rPr>
        <w:t>Ministry of Health. 2019. Kenya National Health Accounts 2015/2016. Nairobi, Kenya: Government of Kenya</w:t>
      </w:r>
    </w:p>
    <w:p w14:paraId="461920DC" w14:textId="10181BCB" w:rsidR="00086021" w:rsidRDefault="009E19AB">
      <w:pPr>
        <w:pStyle w:val="Bibliography"/>
        <w:rPr>
          <w:rFonts w:eastAsia="Abadi Extra Light" w:cs="Arial"/>
          <w:szCs w:val="18"/>
        </w:rPr>
      </w:pPr>
      <w:r w:rsidRPr="0055011C">
        <w:rPr>
          <w:rFonts w:eastAsia="Abadi Extra Light" w:cs="Arial"/>
          <w:szCs w:val="18"/>
        </w:rPr>
        <w:t xml:space="preserve">Munge, K., &amp; Briggs, A. (2014). The progressivity of health-care financing in Kenya. </w:t>
      </w:r>
      <w:r w:rsidRPr="0055011C">
        <w:rPr>
          <w:rFonts w:eastAsia="Abadi Extra Light" w:cs="Arial"/>
          <w:i/>
          <w:szCs w:val="18"/>
        </w:rPr>
        <w:t>Health Policy and Planning</w:t>
      </w:r>
      <w:r w:rsidRPr="0055011C">
        <w:rPr>
          <w:rFonts w:eastAsia="Abadi Extra Light" w:cs="Arial"/>
          <w:szCs w:val="18"/>
        </w:rPr>
        <w:t>. doi: 10.1093/heapol/czt073</w:t>
      </w:r>
    </w:p>
    <w:p w14:paraId="07EEE190" w14:textId="77777777" w:rsidR="00B30196" w:rsidRPr="00B30196" w:rsidRDefault="00B30196" w:rsidP="00B30196"/>
    <w:p w14:paraId="4D0E822B" w14:textId="7250083B" w:rsidR="00086021" w:rsidRDefault="009E19AB">
      <w:pPr>
        <w:pStyle w:val="Bibliography"/>
        <w:rPr>
          <w:rFonts w:cs="Arial"/>
          <w:szCs w:val="18"/>
        </w:rPr>
      </w:pPr>
      <w:r w:rsidRPr="0055011C">
        <w:rPr>
          <w:rFonts w:cs="Arial"/>
          <w:szCs w:val="18"/>
        </w:rPr>
        <w:t>Munge, K., Mulupi, S., Barasa, E. W., &amp; Chuma, J. (2018). A critical analysis of purchasing arrangements in Kenya: the case of the National Hospital Insurance Fund. International journal of health policy and management, 7(3), 244.</w:t>
      </w:r>
    </w:p>
    <w:p w14:paraId="0358C51C" w14:textId="77777777" w:rsidR="00B30196" w:rsidRPr="00B30196" w:rsidRDefault="00B30196" w:rsidP="00B30196"/>
    <w:p w14:paraId="40A49B31" w14:textId="7F8E7871" w:rsidR="00086021" w:rsidRDefault="009E19AB">
      <w:pPr>
        <w:pStyle w:val="Bibliography"/>
        <w:rPr>
          <w:rFonts w:eastAsia="Abadi Extra Light" w:cs="Arial"/>
          <w:szCs w:val="18"/>
        </w:rPr>
      </w:pPr>
      <w:r w:rsidRPr="0055011C">
        <w:rPr>
          <w:rFonts w:eastAsia="Abadi Extra Light" w:cs="Arial"/>
          <w:szCs w:val="18"/>
        </w:rPr>
        <w:t xml:space="preserve">Mung'ou, T. (2016). </w:t>
      </w:r>
      <w:r w:rsidRPr="0055011C">
        <w:rPr>
          <w:rFonts w:eastAsia="Abadi Extra Light" w:cs="Arial"/>
          <w:i/>
          <w:szCs w:val="18"/>
        </w:rPr>
        <w:t>Transforming media coverage of nutrition in Kenya Field Exchange 52.</w:t>
      </w:r>
      <w:r w:rsidRPr="0055011C">
        <w:rPr>
          <w:rFonts w:eastAsia="Abadi Extra Light" w:cs="Arial"/>
          <w:szCs w:val="18"/>
        </w:rPr>
        <w:t xml:space="preserve"> Nairobi: Field Exchange.</w:t>
      </w:r>
    </w:p>
    <w:p w14:paraId="17AF8CE0" w14:textId="77777777" w:rsidR="00B30196" w:rsidRPr="00B30196" w:rsidRDefault="00B30196" w:rsidP="00B30196"/>
    <w:p w14:paraId="05E26C0A" w14:textId="44BC30BC" w:rsidR="00086021" w:rsidRDefault="009E19AB">
      <w:pPr>
        <w:pStyle w:val="Bibliography"/>
        <w:rPr>
          <w:rFonts w:eastAsia="Abadi Extra Light" w:cs="Arial"/>
          <w:szCs w:val="18"/>
        </w:rPr>
      </w:pPr>
      <w:r w:rsidRPr="0055011C">
        <w:rPr>
          <w:rFonts w:eastAsia="Abadi Extra Light" w:cs="Arial"/>
          <w:szCs w:val="18"/>
        </w:rPr>
        <w:t xml:space="preserve">Njeru, P. (2016). </w:t>
      </w:r>
      <w:r w:rsidRPr="0055011C">
        <w:rPr>
          <w:rFonts w:eastAsia="Abadi Extra Light" w:cs="Arial"/>
          <w:i/>
          <w:szCs w:val="18"/>
        </w:rPr>
        <w:t>An assessment of integrated financial management information system implementation towards effective management practices in Nairobi and Lamu Counties (Thesis).</w:t>
      </w:r>
      <w:r w:rsidRPr="0055011C">
        <w:rPr>
          <w:rFonts w:eastAsia="Abadi Extra Light" w:cs="Arial"/>
          <w:szCs w:val="18"/>
        </w:rPr>
        <w:t xml:space="preserve"> Strathmore University.</w:t>
      </w:r>
    </w:p>
    <w:p w14:paraId="02A68174" w14:textId="77777777" w:rsidR="00B30196" w:rsidRPr="00B30196" w:rsidRDefault="00B30196" w:rsidP="00B30196"/>
    <w:p w14:paraId="5A5768D0" w14:textId="649547E7" w:rsidR="00086021" w:rsidRDefault="009E19AB">
      <w:pPr>
        <w:pStyle w:val="Bibliography"/>
        <w:rPr>
          <w:rFonts w:cs="Arial"/>
          <w:szCs w:val="18"/>
        </w:rPr>
      </w:pPr>
      <w:proofErr w:type="spellStart"/>
      <w:r w:rsidRPr="0055011C">
        <w:rPr>
          <w:rFonts w:cs="Arial"/>
          <w:szCs w:val="18"/>
        </w:rPr>
        <w:t>Nutbeam</w:t>
      </w:r>
      <w:proofErr w:type="spellEnd"/>
      <w:r w:rsidRPr="0055011C">
        <w:rPr>
          <w:rFonts w:cs="Arial"/>
          <w:szCs w:val="18"/>
        </w:rPr>
        <w:t xml:space="preserve">, D., &amp; Boxall, A. M. (2008). What influences the transfer of research into health policy and practice? Observations from England and Australia. </w:t>
      </w:r>
      <w:r w:rsidRPr="0055011C">
        <w:rPr>
          <w:rFonts w:cs="Arial"/>
          <w:i/>
          <w:iCs/>
          <w:szCs w:val="18"/>
        </w:rPr>
        <w:t>Public Health, 122</w:t>
      </w:r>
      <w:r w:rsidRPr="0055011C">
        <w:rPr>
          <w:rFonts w:cs="Arial"/>
          <w:szCs w:val="18"/>
        </w:rPr>
        <w:t>(8), 747-753.</w:t>
      </w:r>
    </w:p>
    <w:p w14:paraId="4DF45749" w14:textId="77777777" w:rsidR="00B30196" w:rsidRPr="00B30196" w:rsidRDefault="00B30196" w:rsidP="00B30196"/>
    <w:p w14:paraId="665CE1B4" w14:textId="31C57AB7" w:rsidR="00086021" w:rsidRDefault="009E19AB">
      <w:pPr>
        <w:pStyle w:val="Bibliography"/>
        <w:rPr>
          <w:rFonts w:eastAsia="Abadi Extra Light" w:cs="Arial"/>
          <w:szCs w:val="18"/>
        </w:rPr>
      </w:pPr>
      <w:r w:rsidRPr="0055011C">
        <w:rPr>
          <w:rFonts w:eastAsia="Abadi Extra Light" w:cs="Arial"/>
          <w:szCs w:val="18"/>
        </w:rPr>
        <w:t>Obadha, M., Chuma, J., Kazungu, J., &amp; Barasa, E. (2019). Health care purchasing in Kenya: Experiences of health care providers with capitation and fee</w:t>
      </w:r>
      <w:r w:rsidRPr="0055011C">
        <w:rPr>
          <w:rFonts w:ascii="Cambria Math" w:eastAsia="Cambria Math" w:hAnsi="Cambria Math" w:cs="Cambria Math"/>
          <w:szCs w:val="18"/>
        </w:rPr>
        <w:t>‐</w:t>
      </w:r>
      <w:r w:rsidRPr="0055011C">
        <w:rPr>
          <w:rFonts w:eastAsia="Abadi Extra Light" w:cs="Arial"/>
          <w:szCs w:val="18"/>
        </w:rPr>
        <w:t>for</w:t>
      </w:r>
      <w:r w:rsidRPr="0055011C">
        <w:rPr>
          <w:rFonts w:ascii="Cambria Math" w:eastAsia="Cambria Math" w:hAnsi="Cambria Math" w:cs="Cambria Math"/>
          <w:szCs w:val="18"/>
        </w:rPr>
        <w:t>‐</w:t>
      </w:r>
      <w:r w:rsidRPr="0055011C">
        <w:rPr>
          <w:rFonts w:eastAsia="Abadi Extra Light" w:cs="Arial"/>
          <w:szCs w:val="18"/>
        </w:rPr>
        <w:t>service provider payment mechanisms. The International journal of health planning and management, 34(1), e917-e933.</w:t>
      </w:r>
    </w:p>
    <w:p w14:paraId="0001873D" w14:textId="77777777" w:rsidR="00B30196" w:rsidRPr="00B30196" w:rsidRDefault="00B30196" w:rsidP="00B30196"/>
    <w:p w14:paraId="144BB70C" w14:textId="55ADF0F2" w:rsidR="00086021" w:rsidRDefault="009E19AB">
      <w:pPr>
        <w:pStyle w:val="Bibliography"/>
        <w:rPr>
          <w:rFonts w:cs="Arial"/>
          <w:szCs w:val="18"/>
        </w:rPr>
      </w:pPr>
      <w:r w:rsidRPr="0055011C">
        <w:rPr>
          <w:rFonts w:cs="Arial"/>
          <w:szCs w:val="18"/>
        </w:rPr>
        <w:t>Pablo Gottret, George Schieber. (2006). A PRACTITIONER’S GUIDE HEALTH FINANCING REVISITED. In P. G. Schieber. The World Bank.</w:t>
      </w:r>
    </w:p>
    <w:p w14:paraId="0D016031" w14:textId="77777777" w:rsidR="00B30196" w:rsidRPr="00B30196" w:rsidRDefault="00B30196" w:rsidP="00B30196"/>
    <w:p w14:paraId="37B9F61E" w14:textId="2D1ACA42" w:rsidR="00086021" w:rsidRDefault="009E19AB">
      <w:pPr>
        <w:pStyle w:val="Bibliography"/>
        <w:rPr>
          <w:rFonts w:eastAsia="Abadi Extra Light" w:cs="Arial"/>
          <w:szCs w:val="18"/>
        </w:rPr>
      </w:pPr>
      <w:r w:rsidRPr="0055011C">
        <w:rPr>
          <w:rFonts w:eastAsia="Abadi Extra Light" w:cs="Arial"/>
          <w:szCs w:val="18"/>
        </w:rPr>
        <w:t xml:space="preserve">Partnership for Maternal, Newborn and Child Health. (2014). </w:t>
      </w:r>
      <w:r w:rsidRPr="0055011C">
        <w:rPr>
          <w:rFonts w:eastAsia="Abadi Extra Light" w:cs="Arial"/>
          <w:i/>
          <w:szCs w:val="18"/>
        </w:rPr>
        <w:t>Budget advocacy for improved women’s and children’s health: experiences from national civil society coalitions.</w:t>
      </w:r>
      <w:r w:rsidRPr="0055011C">
        <w:rPr>
          <w:rFonts w:eastAsia="Abadi Extra Light" w:cs="Arial"/>
          <w:szCs w:val="18"/>
        </w:rPr>
        <w:t xml:space="preserve"> Partnership for </w:t>
      </w:r>
      <w:r w:rsidRPr="0055011C">
        <w:rPr>
          <w:rFonts w:eastAsia="Abadi Extra Light" w:cs="Arial"/>
          <w:color w:val="000000"/>
          <w:szCs w:val="18"/>
        </w:rPr>
        <w:t xml:space="preserve">Maternal, Newborn and Child </w:t>
      </w:r>
      <w:r w:rsidRPr="0055011C">
        <w:rPr>
          <w:rFonts w:eastAsia="Abadi Extra Light" w:cs="Arial"/>
          <w:szCs w:val="18"/>
        </w:rPr>
        <w:t xml:space="preserve">Health. Retrieved from </w:t>
      </w:r>
      <w:hyperlink r:id="rId64" w:history="1">
        <w:r w:rsidR="00B30196" w:rsidRPr="00560727">
          <w:rPr>
            <w:rStyle w:val="Hyperlink"/>
            <w:rFonts w:eastAsia="Abadi Extra Light" w:cs="Arial"/>
            <w:szCs w:val="18"/>
          </w:rPr>
          <w:t>https://www.who.int/pmnch/media/events/2013/progress_report.pdf?ua=1</w:t>
        </w:r>
      </w:hyperlink>
      <w:r w:rsidRPr="0055011C">
        <w:rPr>
          <w:rFonts w:eastAsia="Abadi Extra Light" w:cs="Arial"/>
          <w:szCs w:val="18"/>
        </w:rPr>
        <w:t>.</w:t>
      </w:r>
    </w:p>
    <w:p w14:paraId="43FE9F96" w14:textId="77777777" w:rsidR="00B30196" w:rsidRPr="00B30196" w:rsidRDefault="00B30196" w:rsidP="00B30196"/>
    <w:p w14:paraId="74239D8F" w14:textId="61465437" w:rsidR="00086021" w:rsidRDefault="009E19AB">
      <w:pPr>
        <w:pStyle w:val="Bibliography"/>
        <w:rPr>
          <w:rFonts w:cs="Arial"/>
          <w:szCs w:val="18"/>
        </w:rPr>
      </w:pPr>
      <w:r w:rsidRPr="0055011C">
        <w:rPr>
          <w:rFonts w:cs="Arial"/>
          <w:szCs w:val="18"/>
        </w:rPr>
        <w:t xml:space="preserve">Pollard, A., &amp; Court, J. (2005). </w:t>
      </w:r>
      <w:proofErr w:type="gramStart"/>
      <w:r w:rsidRPr="0055011C">
        <w:rPr>
          <w:rFonts w:cs="Arial"/>
          <w:szCs w:val="18"/>
        </w:rPr>
        <w:t>How</w:t>
      </w:r>
      <w:proofErr w:type="gramEnd"/>
      <w:r w:rsidRPr="0055011C">
        <w:rPr>
          <w:rFonts w:cs="Arial"/>
          <w:szCs w:val="18"/>
        </w:rPr>
        <w:t xml:space="preserve"> Civil Society </w:t>
      </w:r>
      <w:proofErr w:type="spellStart"/>
      <w:r w:rsidRPr="0055011C">
        <w:rPr>
          <w:rFonts w:cs="Arial"/>
          <w:szCs w:val="18"/>
        </w:rPr>
        <w:t>Organisations</w:t>
      </w:r>
      <w:proofErr w:type="spellEnd"/>
      <w:r w:rsidRPr="0055011C">
        <w:rPr>
          <w:rFonts w:cs="Arial"/>
          <w:szCs w:val="18"/>
        </w:rPr>
        <w:t xml:space="preserve"> Use Evidence to Influence Policy Processes: A Literature Review. </w:t>
      </w:r>
      <w:r w:rsidRPr="0055011C">
        <w:rPr>
          <w:rFonts w:cs="Arial"/>
          <w:i/>
          <w:iCs/>
          <w:szCs w:val="18"/>
        </w:rPr>
        <w:t>Overseas Development Institute Working Paper</w:t>
      </w:r>
      <w:r w:rsidRPr="0055011C">
        <w:rPr>
          <w:rFonts w:cs="Arial"/>
          <w:szCs w:val="18"/>
        </w:rPr>
        <w:t>, 8-11.</w:t>
      </w:r>
    </w:p>
    <w:p w14:paraId="6219B452" w14:textId="77777777" w:rsidR="00B30196" w:rsidRPr="00B30196" w:rsidRDefault="00B30196" w:rsidP="00B30196"/>
    <w:p w14:paraId="15606DCA" w14:textId="0F9F7B2A" w:rsidR="00086021" w:rsidRDefault="009E19AB">
      <w:pPr>
        <w:pStyle w:val="Bibliography"/>
        <w:rPr>
          <w:rFonts w:eastAsia="Abadi Extra Light" w:cs="Arial"/>
          <w:szCs w:val="18"/>
        </w:rPr>
      </w:pPr>
      <w:r w:rsidRPr="0055011C">
        <w:rPr>
          <w:rFonts w:eastAsia="Abadi Extra Light" w:cs="Arial"/>
          <w:i/>
          <w:szCs w:val="18"/>
        </w:rPr>
        <w:t>Public Finance Management Consulting | Expertise Global Consulting</w:t>
      </w:r>
      <w:r w:rsidRPr="0055011C">
        <w:rPr>
          <w:rFonts w:eastAsia="Abadi Extra Light" w:cs="Arial"/>
          <w:szCs w:val="18"/>
        </w:rPr>
        <w:t xml:space="preserve">. (n.d.). Retrieved August 26, 2020, from </w:t>
      </w:r>
      <w:hyperlink r:id="rId65" w:history="1">
        <w:r w:rsidR="00B30196" w:rsidRPr="00560727">
          <w:rPr>
            <w:rStyle w:val="Hyperlink"/>
            <w:rFonts w:eastAsia="Abadi Extra Light" w:cs="Arial"/>
            <w:szCs w:val="18"/>
          </w:rPr>
          <w:t>http://expertise.co.ke/</w:t>
        </w:r>
      </w:hyperlink>
    </w:p>
    <w:p w14:paraId="7B993100" w14:textId="77777777" w:rsidR="00B30196" w:rsidRPr="00B30196" w:rsidRDefault="00B30196" w:rsidP="00B30196"/>
    <w:p w14:paraId="2F609528" w14:textId="2F262E2C" w:rsidR="00086021" w:rsidRDefault="009E19AB">
      <w:pPr>
        <w:pStyle w:val="Bibliography"/>
        <w:rPr>
          <w:rFonts w:cs="Arial"/>
          <w:szCs w:val="18"/>
        </w:rPr>
      </w:pPr>
      <w:r w:rsidRPr="0055011C">
        <w:rPr>
          <w:rFonts w:cs="Arial"/>
          <w:szCs w:val="18"/>
        </w:rPr>
        <w:t xml:space="preserve">Robinson, M., &amp; Friedman, S. (2007). Civil society, democratization, and foreign aid: Civic engagement and public policy in South Africa and Uganda. </w:t>
      </w:r>
      <w:r w:rsidRPr="0055011C">
        <w:rPr>
          <w:rFonts w:cs="Arial"/>
          <w:i/>
          <w:iCs/>
          <w:szCs w:val="18"/>
        </w:rPr>
        <w:t>Democratization, 14</w:t>
      </w:r>
      <w:r w:rsidRPr="0055011C">
        <w:rPr>
          <w:rFonts w:cs="Arial"/>
          <w:szCs w:val="18"/>
        </w:rPr>
        <w:t>(4), 643-668.</w:t>
      </w:r>
    </w:p>
    <w:p w14:paraId="66C624F9" w14:textId="77777777" w:rsidR="00B30196" w:rsidRPr="00B30196" w:rsidRDefault="00B30196" w:rsidP="00B30196"/>
    <w:p w14:paraId="2746F0E8" w14:textId="77777777" w:rsidR="00086021" w:rsidRPr="0055011C" w:rsidRDefault="009E19AB">
      <w:pPr>
        <w:pStyle w:val="Bibliography"/>
        <w:rPr>
          <w:rFonts w:cs="Arial"/>
          <w:szCs w:val="18"/>
        </w:rPr>
      </w:pPr>
      <w:r w:rsidRPr="0055011C">
        <w:rPr>
          <w:rFonts w:cs="Arial"/>
          <w:szCs w:val="18"/>
        </w:rPr>
        <w:t>Salari, P., Di Giorgio, L., Ilinca, S., &amp; Chuma, J. (2019). The catastrophic and impoverishing effects of out-of-pocket healthcare payments in Kenya, 2018. BMJ global health, 4(6).</w:t>
      </w:r>
    </w:p>
    <w:p w14:paraId="6794B1CC" w14:textId="5A85603D" w:rsidR="00086021" w:rsidRDefault="009E19AB">
      <w:pPr>
        <w:pStyle w:val="Bibliography"/>
        <w:rPr>
          <w:rFonts w:cs="Arial"/>
          <w:szCs w:val="18"/>
        </w:rPr>
      </w:pPr>
      <w:r w:rsidRPr="0055011C">
        <w:rPr>
          <w:rFonts w:cs="Arial"/>
          <w:szCs w:val="18"/>
        </w:rPr>
        <w:lastRenderedPageBreak/>
        <w:t xml:space="preserve">Salazar, L. (2010). Enablers and constraints to knowledge creation, sharing and use: The case of policy advocacy networks. </w:t>
      </w:r>
      <w:r w:rsidRPr="0055011C">
        <w:rPr>
          <w:rFonts w:cs="Arial"/>
          <w:i/>
          <w:iCs/>
          <w:szCs w:val="18"/>
        </w:rPr>
        <w:t>Vine, 40</w:t>
      </w:r>
      <w:r w:rsidRPr="0055011C">
        <w:rPr>
          <w:rFonts w:cs="Arial"/>
          <w:szCs w:val="18"/>
        </w:rPr>
        <w:t>(3-4), 362-375.</w:t>
      </w:r>
    </w:p>
    <w:p w14:paraId="49C9E0B2" w14:textId="77777777" w:rsidR="00B30196" w:rsidRPr="00B30196" w:rsidRDefault="00B30196" w:rsidP="00B30196"/>
    <w:p w14:paraId="4E75BDD1" w14:textId="60BDF304" w:rsidR="00086021" w:rsidRDefault="009E19AB">
      <w:pPr>
        <w:pStyle w:val="Bibliography"/>
        <w:rPr>
          <w:rFonts w:cs="Arial"/>
          <w:szCs w:val="18"/>
        </w:rPr>
      </w:pPr>
      <w:r w:rsidRPr="0055011C">
        <w:rPr>
          <w:rFonts w:cs="Arial"/>
          <w:szCs w:val="18"/>
        </w:rPr>
        <w:t xml:space="preserve">Spicer, N., Harmer, A., </w:t>
      </w:r>
      <w:proofErr w:type="spellStart"/>
      <w:r w:rsidRPr="0055011C">
        <w:rPr>
          <w:rFonts w:cs="Arial"/>
          <w:szCs w:val="18"/>
        </w:rPr>
        <w:t>Aleshkina</w:t>
      </w:r>
      <w:proofErr w:type="spellEnd"/>
      <w:r w:rsidRPr="0055011C">
        <w:rPr>
          <w:rFonts w:cs="Arial"/>
          <w:szCs w:val="18"/>
        </w:rPr>
        <w:t xml:space="preserve">, J., Bogdan, D., </w:t>
      </w:r>
      <w:proofErr w:type="spellStart"/>
      <w:r w:rsidRPr="0055011C">
        <w:rPr>
          <w:rFonts w:cs="Arial"/>
          <w:szCs w:val="18"/>
        </w:rPr>
        <w:t>Chkhatarashvili</w:t>
      </w:r>
      <w:proofErr w:type="spellEnd"/>
      <w:r w:rsidRPr="0055011C">
        <w:rPr>
          <w:rFonts w:cs="Arial"/>
          <w:szCs w:val="18"/>
        </w:rPr>
        <w:t xml:space="preserve">, K., </w:t>
      </w:r>
      <w:proofErr w:type="spellStart"/>
      <w:r w:rsidRPr="0055011C">
        <w:rPr>
          <w:rFonts w:cs="Arial"/>
          <w:szCs w:val="18"/>
        </w:rPr>
        <w:t>Murzalieva</w:t>
      </w:r>
      <w:proofErr w:type="spellEnd"/>
      <w:r w:rsidRPr="0055011C">
        <w:rPr>
          <w:rFonts w:cs="Arial"/>
          <w:szCs w:val="18"/>
        </w:rPr>
        <w:t>, G., . . . Walt, G. (2011). Circus monkeys or change agents? Civil society advocacy for HIV/AIDS in adverse policy environments</w:t>
      </w:r>
      <w:proofErr w:type="gramStart"/>
      <w:r w:rsidRPr="0055011C">
        <w:rPr>
          <w:rFonts w:cs="Arial"/>
          <w:szCs w:val="18"/>
        </w:rPr>
        <w:t>. .</w:t>
      </w:r>
      <w:proofErr w:type="gramEnd"/>
      <w:r w:rsidRPr="0055011C">
        <w:rPr>
          <w:rFonts w:cs="Arial"/>
          <w:szCs w:val="18"/>
        </w:rPr>
        <w:t xml:space="preserve"> </w:t>
      </w:r>
      <w:r w:rsidRPr="0055011C">
        <w:rPr>
          <w:rFonts w:cs="Arial"/>
          <w:i/>
          <w:iCs/>
          <w:szCs w:val="18"/>
        </w:rPr>
        <w:t>Social science &amp; medicine, 73</w:t>
      </w:r>
      <w:r w:rsidRPr="0055011C">
        <w:rPr>
          <w:rFonts w:cs="Arial"/>
          <w:szCs w:val="18"/>
        </w:rPr>
        <w:t>(12), 1748-1750.</w:t>
      </w:r>
    </w:p>
    <w:p w14:paraId="7220BEEF" w14:textId="77777777" w:rsidR="00B30196" w:rsidRPr="00B30196" w:rsidRDefault="00B30196" w:rsidP="00B30196"/>
    <w:p w14:paraId="15FFEB8C" w14:textId="6D49D8E6" w:rsidR="00086021" w:rsidRDefault="009E19AB">
      <w:pPr>
        <w:pStyle w:val="Bibliography"/>
        <w:rPr>
          <w:rFonts w:eastAsia="Abadi Extra Light" w:cs="Arial"/>
          <w:szCs w:val="18"/>
        </w:rPr>
      </w:pPr>
      <w:r w:rsidRPr="0055011C">
        <w:rPr>
          <w:rFonts w:eastAsia="Abadi Extra Light" w:cs="Arial"/>
          <w:szCs w:val="18"/>
        </w:rPr>
        <w:t xml:space="preserve">Stapenhurst, R., &amp; Titsworth, J. (2002). </w:t>
      </w:r>
      <w:r w:rsidRPr="0055011C">
        <w:rPr>
          <w:rFonts w:eastAsia="Abadi Extra Light" w:cs="Arial"/>
          <w:i/>
          <w:szCs w:val="18"/>
        </w:rPr>
        <w:t>Features and Functions of Supreme Audit Institutions. Africa Region Findings &amp; Good Practice Infobriefs; No. 208.</w:t>
      </w:r>
      <w:r w:rsidRPr="0055011C">
        <w:rPr>
          <w:rFonts w:eastAsia="Abadi Extra Light" w:cs="Arial"/>
          <w:szCs w:val="18"/>
        </w:rPr>
        <w:t xml:space="preserve"> Washington D.C: The World Bank Group.</w:t>
      </w:r>
    </w:p>
    <w:p w14:paraId="4512D5FB" w14:textId="77777777" w:rsidR="00B30196" w:rsidRPr="00B30196" w:rsidRDefault="00B30196" w:rsidP="00B30196"/>
    <w:p w14:paraId="15FC0D90" w14:textId="7EA7E3B5" w:rsidR="00086021" w:rsidRDefault="009E19AB">
      <w:pPr>
        <w:pStyle w:val="Bibliography"/>
        <w:rPr>
          <w:rFonts w:cs="Arial"/>
          <w:szCs w:val="18"/>
        </w:rPr>
      </w:pPr>
      <w:r w:rsidRPr="0055011C">
        <w:rPr>
          <w:rFonts w:cs="Arial"/>
          <w:szCs w:val="18"/>
        </w:rPr>
        <w:t>The Republic of Kenya. (1992). Non-Governmental Organizations Coordination Regulations.</w:t>
      </w:r>
    </w:p>
    <w:p w14:paraId="09D79BAE" w14:textId="77777777" w:rsidR="00B30196" w:rsidRPr="00B30196" w:rsidRDefault="00B30196" w:rsidP="00B30196"/>
    <w:p w14:paraId="01A10D88" w14:textId="2F7C1EAE" w:rsidR="00086021" w:rsidRDefault="009E19AB">
      <w:pPr>
        <w:pStyle w:val="Bibliography"/>
        <w:rPr>
          <w:rFonts w:cs="Arial"/>
          <w:szCs w:val="18"/>
        </w:rPr>
      </w:pPr>
      <w:r w:rsidRPr="0055011C">
        <w:rPr>
          <w:rFonts w:cs="Arial"/>
          <w:szCs w:val="18"/>
        </w:rPr>
        <w:t>The Republic of Kenya. (1995). Non-Governmental Organizations Council Code of Conduct.</w:t>
      </w:r>
    </w:p>
    <w:p w14:paraId="47B1C317" w14:textId="77777777" w:rsidR="00B30196" w:rsidRPr="00B30196" w:rsidRDefault="00B30196" w:rsidP="00B30196"/>
    <w:p w14:paraId="1A90C112" w14:textId="099626F2" w:rsidR="00086021" w:rsidRDefault="009E19AB">
      <w:pPr>
        <w:pStyle w:val="Bibliography"/>
        <w:rPr>
          <w:rFonts w:cs="Arial"/>
          <w:szCs w:val="18"/>
        </w:rPr>
      </w:pPr>
      <w:r w:rsidRPr="0055011C">
        <w:rPr>
          <w:rFonts w:cs="Arial"/>
          <w:szCs w:val="18"/>
        </w:rPr>
        <w:t>The Republic Of Kenya. (2013). Public Benefits Organization Act.</w:t>
      </w:r>
    </w:p>
    <w:p w14:paraId="6060C05E" w14:textId="77777777" w:rsidR="00B30196" w:rsidRPr="00B30196" w:rsidRDefault="00B30196" w:rsidP="00B30196"/>
    <w:p w14:paraId="3E4B9EE4" w14:textId="0ED467D2" w:rsidR="00086021" w:rsidRDefault="009E19AB">
      <w:pPr>
        <w:pStyle w:val="Bibliography"/>
        <w:rPr>
          <w:rFonts w:eastAsia="Abadi Extra Light" w:cs="Arial"/>
          <w:szCs w:val="18"/>
        </w:rPr>
      </w:pPr>
      <w:r w:rsidRPr="0055011C">
        <w:rPr>
          <w:rFonts w:eastAsia="Abadi Extra Light" w:cs="Arial"/>
          <w:i/>
          <w:szCs w:val="18"/>
        </w:rPr>
        <w:t>The Vertical Process of Sharing National Revenue in Kenya</w:t>
      </w:r>
      <w:r w:rsidRPr="0055011C">
        <w:rPr>
          <w:rFonts w:eastAsia="Abadi Extra Light" w:cs="Arial"/>
          <w:szCs w:val="18"/>
        </w:rPr>
        <w:t xml:space="preserve">. (n.d.). Retrieved August 3, 2020, from </w:t>
      </w:r>
      <w:hyperlink r:id="rId66" w:history="1">
        <w:r w:rsidR="00B30196" w:rsidRPr="00560727">
          <w:rPr>
            <w:rStyle w:val="Hyperlink"/>
            <w:rFonts w:eastAsia="Abadi Extra Light" w:cs="Arial"/>
            <w:szCs w:val="18"/>
          </w:rPr>
          <w:t>https://www.afrocave.com/vertical-process-of-sharing-national-revenue-kenya/</w:t>
        </w:r>
      </w:hyperlink>
    </w:p>
    <w:p w14:paraId="50B8A5B7" w14:textId="77777777" w:rsidR="00B30196" w:rsidRPr="00B30196" w:rsidRDefault="00B30196" w:rsidP="00B30196"/>
    <w:p w14:paraId="761B5D84" w14:textId="122331A0" w:rsidR="00086021" w:rsidRDefault="009E19AB">
      <w:pPr>
        <w:pStyle w:val="Bibliography"/>
        <w:rPr>
          <w:rFonts w:eastAsia="Abadi Extra Light" w:cs="Arial"/>
          <w:szCs w:val="18"/>
        </w:rPr>
      </w:pPr>
      <w:r w:rsidRPr="0055011C">
        <w:rPr>
          <w:rFonts w:eastAsia="Abadi Extra Light" w:cs="Arial"/>
          <w:szCs w:val="18"/>
        </w:rPr>
        <w:t xml:space="preserve">The World Bank Group. (2017). </w:t>
      </w:r>
      <w:r w:rsidRPr="0055011C">
        <w:rPr>
          <w:rFonts w:eastAsia="Abadi Extra Light" w:cs="Arial"/>
          <w:i/>
          <w:szCs w:val="18"/>
        </w:rPr>
        <w:t>Inclusive and Effective Citizen Engagement: Participatory Budgeting, Makueni and West Pokot Counties.</w:t>
      </w:r>
      <w:r w:rsidRPr="0055011C">
        <w:rPr>
          <w:rFonts w:eastAsia="Abadi Extra Light" w:cs="Arial"/>
          <w:szCs w:val="18"/>
        </w:rPr>
        <w:t xml:space="preserve"> Nairobi: The World Bank Group. Retrieved from </w:t>
      </w:r>
      <w:hyperlink r:id="rId67" w:history="1">
        <w:r w:rsidR="00B30196" w:rsidRPr="00560727">
          <w:rPr>
            <w:rStyle w:val="Hyperlink"/>
            <w:rFonts w:eastAsia="Abadi Extra Light" w:cs="Arial"/>
            <w:szCs w:val="18"/>
          </w:rPr>
          <w:t>http://documents1.worldbank.org/curated/en/231501494574792952/pdf/Inclusive-and-effective-citizen-engagement-participatory-budgeting-Makueni-and-West-Pokot-counties.pdf</w:t>
        </w:r>
      </w:hyperlink>
    </w:p>
    <w:p w14:paraId="108F9BD8" w14:textId="77777777" w:rsidR="00B30196" w:rsidRPr="00B30196" w:rsidRDefault="00B30196" w:rsidP="00B30196"/>
    <w:p w14:paraId="12DF7A75" w14:textId="2EABF4F7" w:rsidR="00086021" w:rsidRDefault="009E19AB">
      <w:pPr>
        <w:pStyle w:val="Bibliography"/>
        <w:rPr>
          <w:rFonts w:cs="Arial"/>
          <w:szCs w:val="18"/>
        </w:rPr>
      </w:pPr>
      <w:r w:rsidRPr="0055011C">
        <w:rPr>
          <w:rFonts w:cs="Arial"/>
          <w:szCs w:val="18"/>
        </w:rPr>
        <w:t>Tsofa B, Molyneux S, Goodman C. Health sector operational planning and budgeting processes in Kenya-"never the twain shall meet". Int J Health Plann Manage. 2016 Jul;31(3):260-76. doi: 10.1002/hpm.2286. Epub 2015 Mar 18. PMID: 25783862; PMCID: PMC4988384.</w:t>
      </w:r>
    </w:p>
    <w:p w14:paraId="15E17416" w14:textId="77777777" w:rsidR="00B30196" w:rsidRPr="00B30196" w:rsidRDefault="00B30196" w:rsidP="00B30196"/>
    <w:p w14:paraId="22698464" w14:textId="052F26FE" w:rsidR="00086021" w:rsidRDefault="009E19AB">
      <w:pPr>
        <w:pStyle w:val="Bibliography"/>
        <w:rPr>
          <w:rFonts w:cs="Arial"/>
          <w:szCs w:val="18"/>
        </w:rPr>
      </w:pPr>
      <w:r w:rsidRPr="0055011C">
        <w:rPr>
          <w:rFonts w:cs="Arial"/>
          <w:szCs w:val="18"/>
        </w:rPr>
        <w:t>Vogus A, Graff K. PEPFAR Transitions to Country Ownership: Review of Past Donor Transitions and Application of Lessons Learned to the Eastern Caribbean. Glob Health Sci Pract. 2015 Jun 17;3(2):274-86. doi: 10.9745/GHSP-D-14-00227. PMID: 26085023; PMCID: PMC4476864.</w:t>
      </w:r>
    </w:p>
    <w:p w14:paraId="7CF79E2F" w14:textId="77777777" w:rsidR="00B30196" w:rsidRPr="00B30196" w:rsidRDefault="00B30196" w:rsidP="00B30196"/>
    <w:p w14:paraId="4508B869" w14:textId="759D1602" w:rsidR="00086021" w:rsidRDefault="009E19AB">
      <w:pPr>
        <w:pStyle w:val="Bibliography"/>
        <w:rPr>
          <w:rFonts w:eastAsia="Abadi Extra Light" w:cs="Arial"/>
          <w:szCs w:val="18"/>
        </w:rPr>
      </w:pPr>
      <w:r w:rsidRPr="0055011C">
        <w:rPr>
          <w:rFonts w:eastAsia="Abadi Extra Light" w:cs="Arial"/>
          <w:szCs w:val="18"/>
        </w:rPr>
        <w:t xml:space="preserve">Wang, V., &amp; Lise, a. R. (2005). </w:t>
      </w:r>
      <w:r w:rsidRPr="0055011C">
        <w:rPr>
          <w:rFonts w:eastAsia="Abadi Extra Light" w:cs="Arial"/>
          <w:i/>
          <w:szCs w:val="18"/>
        </w:rPr>
        <w:t xml:space="preserve">The accountability function of supreme audit institutions in Malawi, </w:t>
      </w:r>
      <w:proofErr w:type="gramStart"/>
      <w:r w:rsidRPr="0055011C">
        <w:rPr>
          <w:rFonts w:eastAsia="Abadi Extra Light" w:cs="Arial"/>
          <w:i/>
          <w:szCs w:val="18"/>
        </w:rPr>
        <w:t>Uganda</w:t>
      </w:r>
      <w:proofErr w:type="gramEnd"/>
      <w:r w:rsidRPr="0055011C">
        <w:rPr>
          <w:rFonts w:eastAsia="Abadi Extra Light" w:cs="Arial"/>
          <w:i/>
          <w:szCs w:val="18"/>
        </w:rPr>
        <w:t xml:space="preserve"> and Tanzania.</w:t>
      </w:r>
      <w:r w:rsidRPr="0055011C">
        <w:rPr>
          <w:rFonts w:eastAsia="Abadi Extra Light" w:cs="Arial"/>
          <w:szCs w:val="18"/>
        </w:rPr>
        <w:t xml:space="preserve"> Bergen: Chr. Michelsen Institute.</w:t>
      </w:r>
    </w:p>
    <w:p w14:paraId="266233B4" w14:textId="77777777" w:rsidR="00B30196" w:rsidRPr="00B30196" w:rsidRDefault="00B30196" w:rsidP="00B30196"/>
    <w:p w14:paraId="7A9763F1" w14:textId="3AA9ED48" w:rsidR="00086021" w:rsidRDefault="009E19AB">
      <w:pPr>
        <w:pStyle w:val="Bibliography"/>
        <w:rPr>
          <w:rFonts w:cs="Arial"/>
          <w:szCs w:val="18"/>
        </w:rPr>
      </w:pPr>
      <w:r w:rsidRPr="0055011C">
        <w:rPr>
          <w:rFonts w:cs="Arial"/>
          <w:szCs w:val="18"/>
        </w:rPr>
        <w:t>Williamson RT, Wondergem P, Amenyah RN. Using a reporting system to protect the human rights of people living with HIV and key populations: a conceptual framework. Health Hum Rights. 2014 Jun 14;16(1):148-56. PMID: 25474603.</w:t>
      </w:r>
    </w:p>
    <w:p w14:paraId="2400C0D2" w14:textId="77777777" w:rsidR="00B30196" w:rsidRPr="00B30196" w:rsidRDefault="00B30196" w:rsidP="00B30196"/>
    <w:p w14:paraId="1CE1FF8D" w14:textId="77777777" w:rsidR="00086021" w:rsidRPr="0055011C" w:rsidRDefault="009E19AB" w:rsidP="0055011C">
      <w:pPr>
        <w:pStyle w:val="Bibliography"/>
        <w:jc w:val="both"/>
        <w:rPr>
          <w:rFonts w:cs="Arial"/>
          <w:szCs w:val="18"/>
        </w:rPr>
      </w:pPr>
      <w:r w:rsidRPr="0055011C">
        <w:rPr>
          <w:rFonts w:cs="Arial"/>
          <w:szCs w:val="18"/>
        </w:rPr>
        <w:t>World Health Organization. (2004). Tax-based financing for health systems: options and experiences (No. EIP/FER/DP. 04.4). World Health Organization.</w:t>
      </w:r>
    </w:p>
    <w:p w14:paraId="25158663" w14:textId="77777777" w:rsidR="00086021" w:rsidRPr="0055011C" w:rsidRDefault="00086021">
      <w:pPr>
        <w:pStyle w:val="Bibliography"/>
        <w:rPr>
          <w:rFonts w:cs="Arial"/>
          <w:szCs w:val="18"/>
        </w:rPr>
      </w:pPr>
    </w:p>
    <w:p w14:paraId="45D1465A" w14:textId="77777777" w:rsidR="00086021" w:rsidRPr="0055011C" w:rsidRDefault="00086021">
      <w:pPr>
        <w:rPr>
          <w:rFonts w:cs="Arial"/>
          <w:szCs w:val="18"/>
        </w:rPr>
      </w:pPr>
    </w:p>
    <w:p w14:paraId="0884C1FE" w14:textId="77777777" w:rsidR="00086021" w:rsidRDefault="00086021"/>
    <w:p w14:paraId="6812D1D6" w14:textId="77777777" w:rsidR="00086021" w:rsidRDefault="00086021"/>
    <w:p w14:paraId="3508F129" w14:textId="77777777" w:rsidR="00086021" w:rsidRDefault="00086021"/>
    <w:p w14:paraId="33187362" w14:textId="77777777" w:rsidR="00086021" w:rsidRDefault="00086021"/>
    <w:p w14:paraId="4C0F4700" w14:textId="77777777" w:rsidR="00086021" w:rsidRDefault="00086021"/>
    <w:p w14:paraId="0123A106" w14:textId="77777777" w:rsidR="00086021" w:rsidRDefault="00086021"/>
    <w:p w14:paraId="4EE5045F" w14:textId="77777777" w:rsidR="00086021" w:rsidRDefault="00086021"/>
    <w:p w14:paraId="42E59C43" w14:textId="77777777" w:rsidR="00086021" w:rsidRDefault="009E19AB">
      <w:r>
        <w:br w:type="page"/>
      </w:r>
    </w:p>
    <w:p w14:paraId="7DA87CEB" w14:textId="77777777" w:rsidR="00086021" w:rsidRDefault="009E19AB">
      <w:pPr>
        <w:pStyle w:val="Heading3"/>
      </w:pPr>
      <w:r>
        <w:lastRenderedPageBreak/>
        <w:t>Annex 1 Laws governing public finance functions in Kenya</w:t>
      </w:r>
    </w:p>
    <w:p w14:paraId="43CD479F" w14:textId="77777777" w:rsidR="00086021" w:rsidRDefault="00086021"/>
    <w:tbl>
      <w:tblPr>
        <w:tblW w:w="8858" w:type="dxa"/>
        <w:tblInd w:w="108" w:type="dxa"/>
        <w:tblLook w:val="04A0" w:firstRow="1" w:lastRow="0" w:firstColumn="1" w:lastColumn="0" w:noHBand="0" w:noVBand="1"/>
      </w:tblPr>
      <w:tblGrid>
        <w:gridCol w:w="3525"/>
        <w:gridCol w:w="5333"/>
      </w:tblGrid>
      <w:tr w:rsidR="00086021" w14:paraId="3C82BA50" w14:textId="77777777">
        <w:trPr>
          <w:trHeight w:val="307"/>
        </w:trPr>
        <w:tc>
          <w:tcPr>
            <w:tcW w:w="3525" w:type="dxa"/>
            <w:tcBorders>
              <w:top w:val="single" w:sz="4" w:space="0" w:color="297FD5"/>
              <w:left w:val="single" w:sz="4" w:space="0" w:color="297FD5"/>
              <w:bottom w:val="single" w:sz="4" w:space="0" w:color="297FD5"/>
              <w:right w:val="single" w:sz="4" w:space="0" w:color="297FD5"/>
            </w:tcBorders>
            <w:shd w:val="clear" w:color="auto" w:fill="C9211E"/>
          </w:tcPr>
          <w:p w14:paraId="3541692B" w14:textId="77777777" w:rsidR="00086021" w:rsidRDefault="009E19AB">
            <w:pPr>
              <w:pStyle w:val="TableContents"/>
              <w:rPr>
                <w:color w:val="FEFEFE"/>
                <w:sz w:val="20"/>
                <w:szCs w:val="20"/>
              </w:rPr>
            </w:pPr>
            <w:r>
              <w:rPr>
                <w:color w:val="FEFEFE"/>
                <w:sz w:val="20"/>
                <w:szCs w:val="20"/>
              </w:rPr>
              <w:t>Law</w:t>
            </w:r>
          </w:p>
        </w:tc>
        <w:tc>
          <w:tcPr>
            <w:tcW w:w="5333" w:type="dxa"/>
            <w:tcBorders>
              <w:top w:val="single" w:sz="4" w:space="0" w:color="297FD5"/>
              <w:left w:val="single" w:sz="4" w:space="0" w:color="297FD5"/>
              <w:bottom w:val="single" w:sz="4" w:space="0" w:color="297FD5"/>
              <w:right w:val="single" w:sz="4" w:space="0" w:color="297FD5"/>
            </w:tcBorders>
            <w:shd w:val="clear" w:color="auto" w:fill="C9211E"/>
          </w:tcPr>
          <w:p w14:paraId="296C5843" w14:textId="77777777" w:rsidR="00086021" w:rsidRDefault="009E19AB">
            <w:pPr>
              <w:pStyle w:val="TableContents"/>
              <w:rPr>
                <w:color w:val="FEFEFE"/>
                <w:sz w:val="20"/>
                <w:szCs w:val="20"/>
              </w:rPr>
            </w:pPr>
            <w:r>
              <w:rPr>
                <w:color w:val="FEFEFE"/>
                <w:sz w:val="20"/>
                <w:szCs w:val="20"/>
              </w:rPr>
              <w:t>Significance</w:t>
            </w:r>
          </w:p>
        </w:tc>
      </w:tr>
      <w:tr w:rsidR="00086021" w14:paraId="0FEBDCED" w14:textId="77777777">
        <w:trPr>
          <w:trHeight w:val="872"/>
        </w:trPr>
        <w:tc>
          <w:tcPr>
            <w:tcW w:w="3525" w:type="dxa"/>
            <w:vMerge w:val="restart"/>
            <w:tcBorders>
              <w:top w:val="single" w:sz="4" w:space="0" w:color="7EB1E6"/>
              <w:left w:val="single" w:sz="4" w:space="0" w:color="7EB1E6"/>
              <w:bottom w:val="single" w:sz="4" w:space="0" w:color="7EB1E6"/>
              <w:right w:val="single" w:sz="4" w:space="0" w:color="7EB1E6"/>
            </w:tcBorders>
            <w:shd w:val="clear" w:color="auto" w:fill="8ACC8E"/>
          </w:tcPr>
          <w:p w14:paraId="7E325CD6" w14:textId="77777777" w:rsidR="00086021" w:rsidRDefault="009E19AB">
            <w:pPr>
              <w:pStyle w:val="TableContents"/>
              <w:rPr>
                <w:sz w:val="20"/>
                <w:szCs w:val="20"/>
              </w:rPr>
            </w:pPr>
            <w:r>
              <w:rPr>
                <w:sz w:val="20"/>
                <w:szCs w:val="20"/>
              </w:rPr>
              <w:t>The Constitution of Kenya, 2010</w:t>
            </w:r>
          </w:p>
        </w:tc>
        <w:tc>
          <w:tcPr>
            <w:tcW w:w="5333" w:type="dxa"/>
            <w:tcBorders>
              <w:top w:val="single" w:sz="4" w:space="0" w:color="7EB1E6"/>
              <w:left w:val="single" w:sz="4" w:space="0" w:color="7EB1E6"/>
              <w:bottom w:val="single" w:sz="4" w:space="0" w:color="7EB1E6"/>
              <w:right w:val="single" w:sz="4" w:space="0" w:color="7EB1E6"/>
            </w:tcBorders>
            <w:shd w:val="clear" w:color="auto" w:fill="8ACC8E"/>
          </w:tcPr>
          <w:p w14:paraId="6D206C69" w14:textId="77777777" w:rsidR="00086021" w:rsidRDefault="009E19AB">
            <w:pPr>
              <w:pStyle w:val="TableContents"/>
              <w:rPr>
                <w:sz w:val="20"/>
                <w:szCs w:val="20"/>
              </w:rPr>
            </w:pPr>
            <w:r>
              <w:rPr>
                <w:sz w:val="20"/>
                <w:szCs w:val="20"/>
              </w:rPr>
              <w:t>Chapter 12 of the Constitution provides a framework for structures of PFM in Kenya including the establishment of the following:</w:t>
            </w:r>
          </w:p>
        </w:tc>
      </w:tr>
      <w:tr w:rsidR="00086021" w14:paraId="14555D05" w14:textId="77777777">
        <w:trPr>
          <w:trHeight w:val="297"/>
        </w:trPr>
        <w:tc>
          <w:tcPr>
            <w:tcW w:w="3525" w:type="dxa"/>
            <w:vMerge/>
            <w:tcBorders>
              <w:top w:val="single" w:sz="4" w:space="0" w:color="7EB1E6"/>
              <w:left w:val="single" w:sz="4" w:space="0" w:color="7EB1E6"/>
              <w:bottom w:val="single" w:sz="4" w:space="0" w:color="7EB1E6"/>
              <w:right w:val="single" w:sz="4" w:space="0" w:color="7EB1E6"/>
            </w:tcBorders>
            <w:shd w:val="clear" w:color="auto" w:fill="8ACC8E"/>
          </w:tcPr>
          <w:p w14:paraId="66872F69" w14:textId="77777777" w:rsidR="00086021" w:rsidRDefault="00086021"/>
        </w:tc>
        <w:tc>
          <w:tcPr>
            <w:tcW w:w="5333" w:type="dxa"/>
            <w:tcBorders>
              <w:top w:val="single" w:sz="4" w:space="0" w:color="7EB1E6"/>
              <w:left w:val="single" w:sz="4" w:space="0" w:color="7EB1E6"/>
              <w:bottom w:val="single" w:sz="4" w:space="0" w:color="7EB1E6"/>
              <w:right w:val="single" w:sz="4" w:space="0" w:color="7EB1E6"/>
            </w:tcBorders>
            <w:shd w:val="clear" w:color="auto" w:fill="8ACC8E"/>
          </w:tcPr>
          <w:p w14:paraId="6B32BBA3" w14:textId="77777777" w:rsidR="00086021" w:rsidRDefault="009E19AB">
            <w:pPr>
              <w:pStyle w:val="TableContents"/>
              <w:rPr>
                <w:sz w:val="20"/>
                <w:szCs w:val="20"/>
              </w:rPr>
            </w:pPr>
            <w:r>
              <w:rPr>
                <w:rFonts w:eastAsia="Arial" w:cs="Arial"/>
                <w:sz w:val="20"/>
                <w:szCs w:val="20"/>
              </w:rPr>
              <w:t>●</w:t>
            </w:r>
            <w:r>
              <w:rPr>
                <w:rFonts w:eastAsia="Abadi Extra Light" w:cs="Abadi Extra Light"/>
                <w:sz w:val="20"/>
                <w:szCs w:val="20"/>
              </w:rPr>
              <w:t>      Article 215: Commission for Revenue Allocation</w:t>
            </w:r>
          </w:p>
        </w:tc>
      </w:tr>
      <w:tr w:rsidR="00086021" w14:paraId="24E58D34" w14:textId="77777777">
        <w:trPr>
          <w:trHeight w:val="297"/>
        </w:trPr>
        <w:tc>
          <w:tcPr>
            <w:tcW w:w="3525" w:type="dxa"/>
            <w:vMerge/>
            <w:tcBorders>
              <w:top w:val="single" w:sz="4" w:space="0" w:color="7EB1E6"/>
              <w:left w:val="single" w:sz="4" w:space="0" w:color="7EB1E6"/>
              <w:bottom w:val="single" w:sz="4" w:space="0" w:color="7EB1E6"/>
              <w:right w:val="single" w:sz="4" w:space="0" w:color="7EB1E6"/>
            </w:tcBorders>
            <w:shd w:val="clear" w:color="auto" w:fill="8ACC8E"/>
          </w:tcPr>
          <w:p w14:paraId="29DE4596" w14:textId="77777777" w:rsidR="00086021" w:rsidRDefault="00086021"/>
        </w:tc>
        <w:tc>
          <w:tcPr>
            <w:tcW w:w="5333" w:type="dxa"/>
            <w:tcBorders>
              <w:top w:val="single" w:sz="4" w:space="0" w:color="7EB1E6"/>
              <w:left w:val="single" w:sz="4" w:space="0" w:color="7EB1E6"/>
              <w:bottom w:val="single" w:sz="4" w:space="0" w:color="7EB1E6"/>
              <w:right w:val="single" w:sz="4" w:space="0" w:color="7EB1E6"/>
            </w:tcBorders>
            <w:shd w:val="clear" w:color="auto" w:fill="8ACC8E"/>
          </w:tcPr>
          <w:p w14:paraId="4F204AE2" w14:textId="77777777" w:rsidR="00086021" w:rsidRDefault="009E19AB">
            <w:pPr>
              <w:pStyle w:val="TableContents"/>
              <w:rPr>
                <w:sz w:val="20"/>
                <w:szCs w:val="20"/>
              </w:rPr>
            </w:pPr>
            <w:r>
              <w:rPr>
                <w:rFonts w:eastAsia="Arial" w:cs="Arial"/>
                <w:sz w:val="20"/>
                <w:szCs w:val="20"/>
              </w:rPr>
              <w:t>●</w:t>
            </w:r>
            <w:r>
              <w:rPr>
                <w:rFonts w:eastAsia="Abadi Extra Light" w:cs="Abadi Extra Light"/>
                <w:sz w:val="20"/>
                <w:szCs w:val="20"/>
              </w:rPr>
              <w:t>      Article 228: Controller of Budget</w:t>
            </w:r>
          </w:p>
        </w:tc>
      </w:tr>
      <w:tr w:rsidR="00086021" w14:paraId="6BE342D6" w14:textId="77777777">
        <w:trPr>
          <w:trHeight w:val="297"/>
        </w:trPr>
        <w:tc>
          <w:tcPr>
            <w:tcW w:w="3525" w:type="dxa"/>
            <w:vMerge/>
            <w:tcBorders>
              <w:top w:val="single" w:sz="4" w:space="0" w:color="7EB1E6"/>
              <w:left w:val="single" w:sz="4" w:space="0" w:color="7EB1E6"/>
              <w:bottom w:val="single" w:sz="4" w:space="0" w:color="7EB1E6"/>
              <w:right w:val="single" w:sz="4" w:space="0" w:color="7EB1E6"/>
            </w:tcBorders>
            <w:shd w:val="clear" w:color="auto" w:fill="8ACC8E"/>
          </w:tcPr>
          <w:p w14:paraId="1566DA36" w14:textId="77777777" w:rsidR="00086021" w:rsidRDefault="00086021"/>
        </w:tc>
        <w:tc>
          <w:tcPr>
            <w:tcW w:w="5333" w:type="dxa"/>
            <w:tcBorders>
              <w:top w:val="single" w:sz="4" w:space="0" w:color="7EB1E6"/>
              <w:left w:val="single" w:sz="4" w:space="0" w:color="7EB1E6"/>
              <w:bottom w:val="single" w:sz="4" w:space="0" w:color="7EB1E6"/>
              <w:right w:val="single" w:sz="4" w:space="0" w:color="7EB1E6"/>
            </w:tcBorders>
            <w:shd w:val="clear" w:color="auto" w:fill="8ACC8E"/>
          </w:tcPr>
          <w:p w14:paraId="25CE06B0" w14:textId="77777777" w:rsidR="00086021" w:rsidRDefault="009E19AB">
            <w:pPr>
              <w:pStyle w:val="TableContents"/>
              <w:rPr>
                <w:sz w:val="20"/>
                <w:szCs w:val="20"/>
              </w:rPr>
            </w:pPr>
            <w:r>
              <w:rPr>
                <w:rFonts w:eastAsia="Arial" w:cs="Arial"/>
                <w:sz w:val="20"/>
                <w:szCs w:val="20"/>
              </w:rPr>
              <w:t>●</w:t>
            </w:r>
            <w:r>
              <w:rPr>
                <w:rFonts w:eastAsia="Abadi Extra Light" w:cs="Abadi Extra Light"/>
                <w:sz w:val="20"/>
                <w:szCs w:val="20"/>
              </w:rPr>
              <w:t>      Article 229: Office of the Auditor General</w:t>
            </w:r>
          </w:p>
        </w:tc>
      </w:tr>
      <w:tr w:rsidR="00086021" w14:paraId="1DC32665" w14:textId="77777777">
        <w:trPr>
          <w:trHeight w:val="585"/>
        </w:trPr>
        <w:tc>
          <w:tcPr>
            <w:tcW w:w="3525" w:type="dxa"/>
            <w:tcBorders>
              <w:top w:val="single" w:sz="4" w:space="0" w:color="7EB1E6"/>
              <w:left w:val="single" w:sz="4" w:space="0" w:color="7EB1E6"/>
              <w:bottom w:val="single" w:sz="4" w:space="0" w:color="7EB1E6"/>
              <w:right w:val="single" w:sz="4" w:space="0" w:color="7EB1E6"/>
            </w:tcBorders>
          </w:tcPr>
          <w:p w14:paraId="0887EEBA" w14:textId="77777777" w:rsidR="00086021" w:rsidRDefault="009E19AB">
            <w:pPr>
              <w:pStyle w:val="TableContents"/>
              <w:rPr>
                <w:sz w:val="20"/>
                <w:szCs w:val="20"/>
              </w:rPr>
            </w:pPr>
            <w:r>
              <w:rPr>
                <w:sz w:val="20"/>
                <w:szCs w:val="20"/>
              </w:rPr>
              <w:t>Public Finance Management Act (2012, 2015)</w:t>
            </w:r>
          </w:p>
        </w:tc>
        <w:tc>
          <w:tcPr>
            <w:tcW w:w="5333" w:type="dxa"/>
            <w:tcBorders>
              <w:top w:val="single" w:sz="4" w:space="0" w:color="7EB1E6"/>
              <w:left w:val="single" w:sz="4" w:space="0" w:color="7EB1E6"/>
              <w:bottom w:val="single" w:sz="4" w:space="0" w:color="7EB1E6"/>
              <w:right w:val="single" w:sz="4" w:space="0" w:color="7EB1E6"/>
            </w:tcBorders>
          </w:tcPr>
          <w:p w14:paraId="61DE0719" w14:textId="77777777" w:rsidR="00086021" w:rsidRDefault="009E19AB">
            <w:pPr>
              <w:pStyle w:val="TableContents"/>
              <w:rPr>
                <w:sz w:val="20"/>
                <w:szCs w:val="20"/>
              </w:rPr>
            </w:pPr>
            <w:r>
              <w:rPr>
                <w:sz w:val="20"/>
                <w:szCs w:val="20"/>
              </w:rPr>
              <w:t>Outlines the roles, responsibilities of various actors both in government and outside government in managing public finances</w:t>
            </w:r>
          </w:p>
        </w:tc>
      </w:tr>
      <w:tr w:rsidR="00086021" w14:paraId="7767A5E6" w14:textId="77777777">
        <w:trPr>
          <w:trHeight w:val="585"/>
        </w:trPr>
        <w:tc>
          <w:tcPr>
            <w:tcW w:w="3525" w:type="dxa"/>
            <w:tcBorders>
              <w:top w:val="single" w:sz="4" w:space="0" w:color="7EB1E6"/>
              <w:left w:val="single" w:sz="4" w:space="0" w:color="7EB1E6"/>
              <w:bottom w:val="single" w:sz="4" w:space="0" w:color="7EB1E6"/>
              <w:right w:val="single" w:sz="4" w:space="0" w:color="7EB1E6"/>
            </w:tcBorders>
            <w:shd w:val="clear" w:color="auto" w:fill="8ACC8E"/>
          </w:tcPr>
          <w:p w14:paraId="62A4C223" w14:textId="77777777" w:rsidR="00086021" w:rsidRDefault="009E19AB">
            <w:pPr>
              <w:pStyle w:val="TableContents"/>
              <w:rPr>
                <w:sz w:val="20"/>
                <w:szCs w:val="20"/>
              </w:rPr>
            </w:pPr>
            <w:r>
              <w:rPr>
                <w:sz w:val="20"/>
                <w:szCs w:val="20"/>
              </w:rPr>
              <w:t xml:space="preserve">County Government Act (2012)  </w:t>
            </w:r>
          </w:p>
        </w:tc>
        <w:tc>
          <w:tcPr>
            <w:tcW w:w="5333" w:type="dxa"/>
            <w:tcBorders>
              <w:top w:val="single" w:sz="4" w:space="0" w:color="7EB1E6"/>
              <w:left w:val="single" w:sz="4" w:space="0" w:color="7EB1E6"/>
              <w:bottom w:val="single" w:sz="4" w:space="0" w:color="7EB1E6"/>
              <w:right w:val="single" w:sz="4" w:space="0" w:color="7EB1E6"/>
            </w:tcBorders>
            <w:shd w:val="clear" w:color="auto" w:fill="8ACC8E"/>
          </w:tcPr>
          <w:p w14:paraId="65B8A390" w14:textId="77777777" w:rsidR="00086021" w:rsidRDefault="009E19AB">
            <w:pPr>
              <w:pStyle w:val="TableContents"/>
              <w:rPr>
                <w:sz w:val="20"/>
                <w:szCs w:val="20"/>
              </w:rPr>
            </w:pPr>
            <w:r>
              <w:rPr>
                <w:sz w:val="20"/>
                <w:szCs w:val="20"/>
              </w:rPr>
              <w:t>Defines the scope of control by both the national and county governments</w:t>
            </w:r>
          </w:p>
        </w:tc>
      </w:tr>
      <w:tr w:rsidR="00086021" w14:paraId="385A0F64" w14:textId="77777777">
        <w:trPr>
          <w:trHeight w:val="872"/>
        </w:trPr>
        <w:tc>
          <w:tcPr>
            <w:tcW w:w="3525" w:type="dxa"/>
            <w:tcBorders>
              <w:top w:val="single" w:sz="4" w:space="0" w:color="7EB1E6"/>
              <w:left w:val="single" w:sz="4" w:space="0" w:color="7EB1E6"/>
              <w:bottom w:val="single" w:sz="4" w:space="0" w:color="7EB1E6"/>
              <w:right w:val="single" w:sz="4" w:space="0" w:color="7EB1E6"/>
            </w:tcBorders>
          </w:tcPr>
          <w:p w14:paraId="5E54598C" w14:textId="77777777" w:rsidR="00086021" w:rsidRDefault="009E19AB">
            <w:pPr>
              <w:pStyle w:val="TableContents"/>
              <w:rPr>
                <w:sz w:val="20"/>
                <w:szCs w:val="20"/>
              </w:rPr>
            </w:pPr>
            <w:r>
              <w:rPr>
                <w:sz w:val="20"/>
                <w:szCs w:val="20"/>
              </w:rPr>
              <w:t>Inter-Governmental Relations Act (2012)</w:t>
            </w:r>
          </w:p>
        </w:tc>
        <w:tc>
          <w:tcPr>
            <w:tcW w:w="5333" w:type="dxa"/>
            <w:tcBorders>
              <w:top w:val="single" w:sz="4" w:space="0" w:color="7EB1E6"/>
              <w:left w:val="single" w:sz="4" w:space="0" w:color="7EB1E6"/>
              <w:bottom w:val="single" w:sz="4" w:space="0" w:color="7EB1E6"/>
              <w:right w:val="single" w:sz="4" w:space="0" w:color="7EB1E6"/>
            </w:tcBorders>
          </w:tcPr>
          <w:p w14:paraId="64FC2666" w14:textId="77777777" w:rsidR="00086021" w:rsidRDefault="009E19AB">
            <w:pPr>
              <w:pStyle w:val="TableContents"/>
              <w:rPr>
                <w:sz w:val="20"/>
                <w:szCs w:val="20"/>
              </w:rPr>
            </w:pPr>
            <w:r>
              <w:rPr>
                <w:sz w:val="20"/>
                <w:szCs w:val="20"/>
              </w:rPr>
              <w:t>Outlines how the national and county government relate with each other in a collaborative manner for policy development and implementation</w:t>
            </w:r>
          </w:p>
        </w:tc>
      </w:tr>
      <w:tr w:rsidR="00086021" w14:paraId="3B345A99" w14:textId="77777777">
        <w:trPr>
          <w:trHeight w:val="1159"/>
        </w:trPr>
        <w:tc>
          <w:tcPr>
            <w:tcW w:w="3525" w:type="dxa"/>
            <w:tcBorders>
              <w:top w:val="single" w:sz="4" w:space="0" w:color="7EB1E6"/>
              <w:left w:val="single" w:sz="4" w:space="0" w:color="7EB1E6"/>
              <w:bottom w:val="single" w:sz="4" w:space="0" w:color="7EB1E6"/>
              <w:right w:val="single" w:sz="4" w:space="0" w:color="7EB1E6"/>
            </w:tcBorders>
            <w:shd w:val="clear" w:color="auto" w:fill="8ACC8E"/>
          </w:tcPr>
          <w:p w14:paraId="720D3E3A" w14:textId="77777777" w:rsidR="00086021" w:rsidRDefault="009E19AB">
            <w:pPr>
              <w:pStyle w:val="TableContents"/>
              <w:rPr>
                <w:sz w:val="20"/>
                <w:szCs w:val="20"/>
              </w:rPr>
            </w:pPr>
            <w:r>
              <w:rPr>
                <w:sz w:val="20"/>
                <w:szCs w:val="20"/>
              </w:rPr>
              <w:t>Specific laws by the County Governments</w:t>
            </w:r>
          </w:p>
        </w:tc>
        <w:tc>
          <w:tcPr>
            <w:tcW w:w="5333" w:type="dxa"/>
            <w:tcBorders>
              <w:top w:val="single" w:sz="4" w:space="0" w:color="7EB1E6"/>
              <w:left w:val="single" w:sz="4" w:space="0" w:color="7EB1E6"/>
              <w:bottom w:val="single" w:sz="4" w:space="0" w:color="7EB1E6"/>
              <w:right w:val="single" w:sz="4" w:space="0" w:color="7EB1E6"/>
            </w:tcBorders>
            <w:shd w:val="clear" w:color="auto" w:fill="8ACC8E"/>
          </w:tcPr>
          <w:p w14:paraId="01191B2E" w14:textId="77777777" w:rsidR="00086021" w:rsidRDefault="009E19AB">
            <w:pPr>
              <w:pStyle w:val="TableContents"/>
              <w:rPr>
                <w:sz w:val="20"/>
                <w:szCs w:val="20"/>
              </w:rPr>
            </w:pPr>
            <w:r>
              <w:rPr>
                <w:sz w:val="20"/>
                <w:szCs w:val="20"/>
              </w:rPr>
              <w:t xml:space="preserve">Outline specific PFM guidelines at county level </w:t>
            </w:r>
            <w:proofErr w:type="gramStart"/>
            <w:r>
              <w:rPr>
                <w:sz w:val="20"/>
                <w:szCs w:val="20"/>
              </w:rPr>
              <w:t>e.g.</w:t>
            </w:r>
            <w:proofErr w:type="gramEnd"/>
            <w:r>
              <w:rPr>
                <w:sz w:val="20"/>
                <w:szCs w:val="20"/>
              </w:rPr>
              <w:t xml:space="preserve"> the Facility Improvement Fund (FIF) Bill by W. Pokot County in 2019. This law allows hospitals and health facilities within the county to have residual rights over the revenues that they generate.</w:t>
            </w:r>
          </w:p>
        </w:tc>
      </w:tr>
    </w:tbl>
    <w:p w14:paraId="628483D6" w14:textId="4BF1EDB6" w:rsidR="00086021" w:rsidRDefault="009E19AB">
      <w:pPr>
        <w:pStyle w:val="BodyText"/>
        <w:rPr>
          <w:i/>
          <w:iCs/>
          <w:sz w:val="16"/>
          <w:szCs w:val="16"/>
        </w:rPr>
      </w:pPr>
      <w:r>
        <w:rPr>
          <w:i/>
          <w:iCs/>
          <w:sz w:val="16"/>
          <w:szCs w:val="16"/>
        </w:rPr>
        <w:t>Source: Analysis by the consultant</w:t>
      </w:r>
    </w:p>
    <w:p w14:paraId="2A641BB4" w14:textId="77777777" w:rsidR="00B30196" w:rsidRDefault="00B30196">
      <w:pPr>
        <w:pStyle w:val="BodyText"/>
        <w:rPr>
          <w:i/>
          <w:iCs/>
          <w:sz w:val="16"/>
          <w:szCs w:val="16"/>
        </w:rPr>
      </w:pPr>
    </w:p>
    <w:p w14:paraId="10C28F66" w14:textId="77777777" w:rsidR="00086021" w:rsidRDefault="009E19AB">
      <w:pPr>
        <w:pStyle w:val="Heading3"/>
      </w:pPr>
      <w:r>
        <w:t>Annex 2: Key Laws Governing Fundraising and Accountability for CSOs in Kenya</w:t>
      </w:r>
    </w:p>
    <w:p w14:paraId="1303E9B0" w14:textId="77777777" w:rsidR="00086021" w:rsidRDefault="00086021"/>
    <w:tbl>
      <w:tblPr>
        <w:tblW w:w="9016" w:type="dxa"/>
        <w:tblInd w:w="108" w:type="dxa"/>
        <w:tblLook w:val="04A0" w:firstRow="1" w:lastRow="0" w:firstColumn="1" w:lastColumn="0" w:noHBand="0" w:noVBand="1"/>
      </w:tblPr>
      <w:tblGrid>
        <w:gridCol w:w="9016"/>
      </w:tblGrid>
      <w:tr w:rsidR="00086021" w14:paraId="70C6C32E" w14:textId="77777777">
        <w:tc>
          <w:tcPr>
            <w:tcW w:w="9016" w:type="dxa"/>
            <w:tcBorders>
              <w:top w:val="single" w:sz="4" w:space="0" w:color="297FD5"/>
              <w:left w:val="single" w:sz="4" w:space="0" w:color="297FD5"/>
              <w:bottom w:val="single" w:sz="4" w:space="0" w:color="297FD5"/>
              <w:right w:val="single" w:sz="4" w:space="0" w:color="297FD5"/>
            </w:tcBorders>
            <w:shd w:val="clear" w:color="auto" w:fill="C9211E"/>
          </w:tcPr>
          <w:p w14:paraId="1828D02B" w14:textId="77777777" w:rsidR="00086021" w:rsidRDefault="009E19AB">
            <w:pPr>
              <w:pStyle w:val="TableContents"/>
            </w:pPr>
            <w:r>
              <w:rPr>
                <w:color w:val="FEFEFE"/>
              </w:rPr>
              <w:t>Legislation</w:t>
            </w:r>
            <w:r>
              <w:tab/>
            </w:r>
          </w:p>
        </w:tc>
      </w:tr>
      <w:tr w:rsidR="00086021" w14:paraId="2BE8F619" w14:textId="77777777">
        <w:tc>
          <w:tcPr>
            <w:tcW w:w="9016" w:type="dxa"/>
            <w:tcBorders>
              <w:top w:val="single" w:sz="4" w:space="0" w:color="7EB1E6"/>
              <w:left w:val="single" w:sz="4" w:space="0" w:color="7EB1E6"/>
              <w:bottom w:val="single" w:sz="4" w:space="0" w:color="7EB1E6"/>
              <w:right w:val="single" w:sz="4" w:space="0" w:color="7EB1E6"/>
            </w:tcBorders>
            <w:shd w:val="clear" w:color="auto" w:fill="8ACC8E"/>
          </w:tcPr>
          <w:p w14:paraId="143AB972" w14:textId="77777777" w:rsidR="00086021" w:rsidRDefault="009E19AB">
            <w:pPr>
              <w:pStyle w:val="TableContents"/>
            </w:pPr>
            <w:r>
              <w:t xml:space="preserve">PBO Act 2013  </w:t>
            </w:r>
          </w:p>
        </w:tc>
      </w:tr>
      <w:tr w:rsidR="00086021" w14:paraId="67B63442" w14:textId="77777777">
        <w:tc>
          <w:tcPr>
            <w:tcW w:w="9016" w:type="dxa"/>
            <w:tcBorders>
              <w:top w:val="single" w:sz="4" w:space="0" w:color="7EB1E6"/>
              <w:left w:val="single" w:sz="4" w:space="0" w:color="7EB1E6"/>
              <w:bottom w:val="single" w:sz="4" w:space="0" w:color="7EB1E6"/>
              <w:right w:val="single" w:sz="4" w:space="0" w:color="7EB1E6"/>
            </w:tcBorders>
          </w:tcPr>
          <w:p w14:paraId="2335F2F4" w14:textId="77777777" w:rsidR="00086021" w:rsidRDefault="009E19AB">
            <w:pPr>
              <w:pStyle w:val="TableContents"/>
            </w:pPr>
            <w:r>
              <w:t>Constitution of Kenya of 2010;</w:t>
            </w:r>
          </w:p>
        </w:tc>
      </w:tr>
      <w:tr w:rsidR="00086021" w14:paraId="14DAD377" w14:textId="77777777">
        <w:tc>
          <w:tcPr>
            <w:tcW w:w="9016" w:type="dxa"/>
            <w:tcBorders>
              <w:top w:val="single" w:sz="4" w:space="0" w:color="7EB1E6"/>
              <w:left w:val="single" w:sz="4" w:space="0" w:color="7EB1E6"/>
              <w:bottom w:val="single" w:sz="4" w:space="0" w:color="7EB1E6"/>
              <w:right w:val="single" w:sz="4" w:space="0" w:color="7EB1E6"/>
            </w:tcBorders>
            <w:shd w:val="clear" w:color="auto" w:fill="8ACC8E"/>
          </w:tcPr>
          <w:p w14:paraId="53FFBBF7" w14:textId="77777777" w:rsidR="00086021" w:rsidRDefault="009E19AB">
            <w:pPr>
              <w:pStyle w:val="TableContents"/>
            </w:pPr>
            <w:r>
              <w:t>The NGOs Council Code of Conduct [1995];</w:t>
            </w:r>
          </w:p>
        </w:tc>
      </w:tr>
      <w:tr w:rsidR="00086021" w14:paraId="5AE30372" w14:textId="77777777">
        <w:tc>
          <w:tcPr>
            <w:tcW w:w="9016" w:type="dxa"/>
            <w:tcBorders>
              <w:top w:val="single" w:sz="4" w:space="0" w:color="7EB1E6"/>
              <w:left w:val="single" w:sz="4" w:space="0" w:color="7EB1E6"/>
              <w:bottom w:val="single" w:sz="4" w:space="0" w:color="7EB1E6"/>
              <w:right w:val="single" w:sz="4" w:space="0" w:color="7EB1E6"/>
            </w:tcBorders>
          </w:tcPr>
          <w:p w14:paraId="29EF42D1" w14:textId="77777777" w:rsidR="00086021" w:rsidRDefault="009E19AB">
            <w:pPr>
              <w:pStyle w:val="TableContents"/>
            </w:pPr>
            <w:r>
              <w:t>The Trustee Act, Chapter 167 of the Laws of Kenya [1982];</w:t>
            </w:r>
          </w:p>
        </w:tc>
      </w:tr>
      <w:tr w:rsidR="00086021" w14:paraId="1C5175D8" w14:textId="77777777">
        <w:tc>
          <w:tcPr>
            <w:tcW w:w="9016" w:type="dxa"/>
            <w:tcBorders>
              <w:top w:val="single" w:sz="4" w:space="0" w:color="7EB1E6"/>
              <w:left w:val="single" w:sz="4" w:space="0" w:color="7EB1E6"/>
              <w:bottom w:val="single" w:sz="4" w:space="0" w:color="7EB1E6"/>
              <w:right w:val="single" w:sz="4" w:space="0" w:color="7EB1E6"/>
            </w:tcBorders>
            <w:shd w:val="clear" w:color="auto" w:fill="8ACC8E"/>
          </w:tcPr>
          <w:p w14:paraId="52081D1B" w14:textId="77777777" w:rsidR="00086021" w:rsidRDefault="009E19AB">
            <w:pPr>
              <w:pStyle w:val="TableContents"/>
            </w:pPr>
            <w:r>
              <w:t>VAT Act Cap 476 [1990 rev. 2004];</w:t>
            </w:r>
          </w:p>
        </w:tc>
      </w:tr>
      <w:tr w:rsidR="00086021" w14:paraId="56B6B0B6" w14:textId="77777777">
        <w:tc>
          <w:tcPr>
            <w:tcW w:w="9016" w:type="dxa"/>
            <w:tcBorders>
              <w:top w:val="single" w:sz="4" w:space="0" w:color="7EB1E6"/>
              <w:left w:val="single" w:sz="4" w:space="0" w:color="7EB1E6"/>
              <w:bottom w:val="single" w:sz="4" w:space="0" w:color="7EB1E6"/>
              <w:right w:val="single" w:sz="4" w:space="0" w:color="7EB1E6"/>
            </w:tcBorders>
          </w:tcPr>
          <w:p w14:paraId="7C229B8F" w14:textId="77777777" w:rsidR="00086021" w:rsidRDefault="009E19AB">
            <w:pPr>
              <w:pStyle w:val="TableContents"/>
            </w:pPr>
            <w:r>
              <w:t>Customs and Excise Act [rev. 2004];</w:t>
            </w:r>
          </w:p>
        </w:tc>
      </w:tr>
      <w:tr w:rsidR="00086021" w14:paraId="36681184" w14:textId="77777777">
        <w:tc>
          <w:tcPr>
            <w:tcW w:w="9016" w:type="dxa"/>
            <w:tcBorders>
              <w:top w:val="single" w:sz="4" w:space="0" w:color="7EB1E6"/>
              <w:left w:val="single" w:sz="4" w:space="0" w:color="7EB1E6"/>
              <w:bottom w:val="single" w:sz="4" w:space="0" w:color="7EB1E6"/>
              <w:right w:val="single" w:sz="4" w:space="0" w:color="7EB1E6"/>
            </w:tcBorders>
            <w:shd w:val="clear" w:color="auto" w:fill="8ACC8E"/>
          </w:tcPr>
          <w:p w14:paraId="39A62862" w14:textId="77777777" w:rsidR="00086021" w:rsidRDefault="009E19AB">
            <w:pPr>
              <w:pStyle w:val="TableContents"/>
            </w:pPr>
            <w:r>
              <w:t>Income Tax (Charitable Donations Regulations) [2007];</w:t>
            </w:r>
          </w:p>
        </w:tc>
      </w:tr>
      <w:tr w:rsidR="00086021" w14:paraId="0900157E" w14:textId="77777777">
        <w:tc>
          <w:tcPr>
            <w:tcW w:w="9016" w:type="dxa"/>
            <w:tcBorders>
              <w:top w:val="single" w:sz="4" w:space="0" w:color="7EB1E6"/>
              <w:left w:val="single" w:sz="4" w:space="0" w:color="7EB1E6"/>
              <w:bottom w:val="single" w:sz="4" w:space="0" w:color="7EB1E6"/>
              <w:right w:val="single" w:sz="4" w:space="0" w:color="7EB1E6"/>
            </w:tcBorders>
          </w:tcPr>
          <w:p w14:paraId="5174CD98" w14:textId="77777777" w:rsidR="00086021" w:rsidRDefault="009E19AB">
            <w:pPr>
              <w:pStyle w:val="TableContents"/>
            </w:pPr>
            <w:r>
              <w:t>Finance Bill, 2018;</w:t>
            </w:r>
          </w:p>
        </w:tc>
      </w:tr>
      <w:tr w:rsidR="00086021" w14:paraId="6F8FDA51" w14:textId="77777777">
        <w:tc>
          <w:tcPr>
            <w:tcW w:w="9016" w:type="dxa"/>
            <w:tcBorders>
              <w:top w:val="single" w:sz="4" w:space="0" w:color="7EB1E6"/>
              <w:left w:val="single" w:sz="4" w:space="0" w:color="7EB1E6"/>
              <w:bottom w:val="single" w:sz="4" w:space="0" w:color="7EB1E6"/>
              <w:right w:val="single" w:sz="4" w:space="0" w:color="7EB1E6"/>
            </w:tcBorders>
            <w:shd w:val="clear" w:color="auto" w:fill="8ACC8E"/>
          </w:tcPr>
          <w:p w14:paraId="63452B02" w14:textId="77777777" w:rsidR="00086021" w:rsidRDefault="009E19AB">
            <w:pPr>
              <w:pStyle w:val="TableContents"/>
            </w:pPr>
            <w:r>
              <w:t>Sessional Paper No. 1 [2006];</w:t>
            </w:r>
          </w:p>
        </w:tc>
      </w:tr>
      <w:tr w:rsidR="00086021" w14:paraId="20F24C83" w14:textId="77777777">
        <w:tc>
          <w:tcPr>
            <w:tcW w:w="9016" w:type="dxa"/>
            <w:tcBorders>
              <w:top w:val="single" w:sz="4" w:space="0" w:color="7EB1E6"/>
              <w:left w:val="single" w:sz="4" w:space="0" w:color="7EB1E6"/>
              <w:bottom w:val="single" w:sz="4" w:space="0" w:color="7EB1E6"/>
              <w:right w:val="single" w:sz="4" w:space="0" w:color="7EB1E6"/>
            </w:tcBorders>
          </w:tcPr>
          <w:p w14:paraId="7CB75985" w14:textId="77777777" w:rsidR="00086021" w:rsidRDefault="009E19AB">
            <w:pPr>
              <w:pStyle w:val="TableContents"/>
            </w:pPr>
            <w:r>
              <w:t>Companies Act Chapter 486;</w:t>
            </w:r>
          </w:p>
        </w:tc>
      </w:tr>
    </w:tbl>
    <w:p w14:paraId="0A6E078C" w14:textId="77777777" w:rsidR="00086021" w:rsidRDefault="00086021"/>
    <w:p w14:paraId="3A24440D" w14:textId="77777777" w:rsidR="00086021" w:rsidRDefault="00086021"/>
    <w:p w14:paraId="1C53776C" w14:textId="77777777" w:rsidR="00086021" w:rsidRDefault="00086021"/>
    <w:p w14:paraId="491935C3" w14:textId="77777777" w:rsidR="00086021" w:rsidRDefault="00086021"/>
    <w:p w14:paraId="3FD9A801" w14:textId="77777777" w:rsidR="00086021" w:rsidRDefault="00086021"/>
    <w:p w14:paraId="1C0F0CA0" w14:textId="77777777" w:rsidR="00086021" w:rsidRDefault="00086021"/>
    <w:p w14:paraId="08641CF0" w14:textId="77777777" w:rsidR="00086021" w:rsidRDefault="00086021"/>
    <w:p w14:paraId="03B6C941" w14:textId="77777777" w:rsidR="00086021" w:rsidRDefault="009E19AB">
      <w:r>
        <w:br w:type="page"/>
      </w:r>
    </w:p>
    <w:p w14:paraId="16538095" w14:textId="77777777" w:rsidR="00086021" w:rsidRDefault="009E19AB">
      <w:pPr>
        <w:pStyle w:val="Heading3"/>
      </w:pPr>
      <w:r>
        <w:lastRenderedPageBreak/>
        <w:t>Annex 3: The historical chronology of the evolving nature of health financing in Kenya</w:t>
      </w:r>
    </w:p>
    <w:p w14:paraId="1C788FED" w14:textId="77777777" w:rsidR="00086021" w:rsidRDefault="00086021">
      <w:pPr>
        <w:pStyle w:val="TableContents"/>
      </w:pPr>
    </w:p>
    <w:tbl>
      <w:tblPr>
        <w:tblW w:w="5000" w:type="pct"/>
        <w:tblInd w:w="108" w:type="dxa"/>
        <w:tblLook w:val="04A0" w:firstRow="1" w:lastRow="0" w:firstColumn="1" w:lastColumn="0" w:noHBand="0" w:noVBand="1"/>
      </w:tblPr>
      <w:tblGrid>
        <w:gridCol w:w="991"/>
        <w:gridCol w:w="4553"/>
        <w:gridCol w:w="3472"/>
      </w:tblGrid>
      <w:tr w:rsidR="00086021" w14:paraId="05E7C334" w14:textId="77777777">
        <w:trPr>
          <w:trHeight w:val="283"/>
        </w:trPr>
        <w:tc>
          <w:tcPr>
            <w:tcW w:w="992" w:type="dxa"/>
            <w:tcBorders>
              <w:top w:val="single" w:sz="4" w:space="0" w:color="297FD5"/>
              <w:left w:val="single" w:sz="4" w:space="0" w:color="297FD5"/>
              <w:bottom w:val="single" w:sz="4" w:space="0" w:color="297FD5"/>
              <w:right w:val="single" w:sz="4" w:space="0" w:color="297FD5"/>
            </w:tcBorders>
            <w:shd w:val="clear" w:color="auto" w:fill="C9211E"/>
          </w:tcPr>
          <w:p w14:paraId="583628A0" w14:textId="77777777" w:rsidR="00086021" w:rsidRDefault="009E19AB">
            <w:pPr>
              <w:pStyle w:val="TableContents"/>
            </w:pPr>
            <w:r>
              <w:t>Year</w:t>
            </w:r>
          </w:p>
        </w:tc>
        <w:tc>
          <w:tcPr>
            <w:tcW w:w="4558" w:type="dxa"/>
            <w:tcBorders>
              <w:top w:val="single" w:sz="4" w:space="0" w:color="297FD5"/>
              <w:left w:val="single" w:sz="4" w:space="0" w:color="297FD5"/>
              <w:bottom w:val="single" w:sz="4" w:space="0" w:color="297FD5"/>
              <w:right w:val="single" w:sz="4" w:space="0" w:color="297FD5"/>
            </w:tcBorders>
            <w:shd w:val="clear" w:color="auto" w:fill="C9211E"/>
          </w:tcPr>
          <w:p w14:paraId="30C15E70" w14:textId="77777777" w:rsidR="00086021" w:rsidRDefault="009E19AB">
            <w:pPr>
              <w:pStyle w:val="TableContents"/>
            </w:pPr>
            <w:r>
              <w:t>Policy</w:t>
            </w:r>
          </w:p>
        </w:tc>
        <w:tc>
          <w:tcPr>
            <w:tcW w:w="3476" w:type="dxa"/>
            <w:tcBorders>
              <w:top w:val="single" w:sz="4" w:space="0" w:color="297FD5"/>
              <w:left w:val="single" w:sz="4" w:space="0" w:color="297FD5"/>
              <w:bottom w:val="single" w:sz="4" w:space="0" w:color="297FD5"/>
              <w:right w:val="single" w:sz="4" w:space="0" w:color="297FD5"/>
            </w:tcBorders>
            <w:shd w:val="clear" w:color="auto" w:fill="C9211E"/>
          </w:tcPr>
          <w:p w14:paraId="0550C023" w14:textId="77777777" w:rsidR="00086021" w:rsidRDefault="009E19AB">
            <w:pPr>
              <w:pStyle w:val="TableContents"/>
            </w:pPr>
            <w:r>
              <w:t>Implications</w:t>
            </w:r>
          </w:p>
        </w:tc>
      </w:tr>
      <w:tr w:rsidR="00086021" w14:paraId="026D7878" w14:textId="77777777">
        <w:trPr>
          <w:trHeight w:val="283"/>
        </w:trPr>
        <w:tc>
          <w:tcPr>
            <w:tcW w:w="992" w:type="dxa"/>
            <w:tcBorders>
              <w:top w:val="single" w:sz="4" w:space="0" w:color="7EB1E6"/>
              <w:left w:val="single" w:sz="4" w:space="0" w:color="7EB1E6"/>
              <w:bottom w:val="single" w:sz="4" w:space="0" w:color="7EB1E6"/>
              <w:right w:val="single" w:sz="4" w:space="0" w:color="7EB1E6"/>
            </w:tcBorders>
            <w:shd w:val="clear" w:color="auto" w:fill="8ACC8E"/>
          </w:tcPr>
          <w:p w14:paraId="2738561E" w14:textId="77777777" w:rsidR="00086021" w:rsidRDefault="009E19AB">
            <w:pPr>
              <w:pStyle w:val="TableContents"/>
            </w:pPr>
            <w:r>
              <w:t>Pre-Colonial to 1965</w:t>
            </w:r>
          </w:p>
        </w:tc>
        <w:tc>
          <w:tcPr>
            <w:tcW w:w="4558" w:type="dxa"/>
            <w:tcBorders>
              <w:top w:val="single" w:sz="4" w:space="0" w:color="7EB1E6"/>
              <w:left w:val="single" w:sz="4" w:space="0" w:color="7EB1E6"/>
              <w:bottom w:val="single" w:sz="4" w:space="0" w:color="7EB1E6"/>
              <w:right w:val="single" w:sz="4" w:space="0" w:color="7EB1E6"/>
            </w:tcBorders>
            <w:shd w:val="clear" w:color="auto" w:fill="8ACC8E"/>
          </w:tcPr>
          <w:p w14:paraId="374C8787" w14:textId="77777777" w:rsidR="00086021" w:rsidRDefault="009E19AB">
            <w:pPr>
              <w:pStyle w:val="TableContents"/>
            </w:pPr>
            <w:r>
              <w:t>User Fees in all public facilities</w:t>
            </w:r>
          </w:p>
        </w:tc>
        <w:tc>
          <w:tcPr>
            <w:tcW w:w="3476" w:type="dxa"/>
            <w:tcBorders>
              <w:top w:val="single" w:sz="4" w:space="0" w:color="7EB1E6"/>
              <w:left w:val="single" w:sz="4" w:space="0" w:color="7EB1E6"/>
              <w:bottom w:val="single" w:sz="4" w:space="0" w:color="7EB1E6"/>
              <w:right w:val="single" w:sz="4" w:space="0" w:color="7EB1E6"/>
            </w:tcBorders>
            <w:shd w:val="clear" w:color="auto" w:fill="8ACC8E"/>
          </w:tcPr>
          <w:p w14:paraId="0DF81C97" w14:textId="77777777" w:rsidR="00086021" w:rsidRDefault="009E19AB">
            <w:pPr>
              <w:pStyle w:val="TableContents"/>
            </w:pPr>
            <w:r>
              <w:t>Inequity in access and utilization of healthcare</w:t>
            </w:r>
          </w:p>
        </w:tc>
      </w:tr>
      <w:tr w:rsidR="00086021" w14:paraId="22F669A6" w14:textId="77777777">
        <w:trPr>
          <w:trHeight w:val="283"/>
        </w:trPr>
        <w:tc>
          <w:tcPr>
            <w:tcW w:w="992" w:type="dxa"/>
            <w:tcBorders>
              <w:top w:val="single" w:sz="4" w:space="0" w:color="7EB1E6"/>
              <w:left w:val="single" w:sz="4" w:space="0" w:color="7EB1E6"/>
              <w:bottom w:val="single" w:sz="4" w:space="0" w:color="7EB1E6"/>
              <w:right w:val="single" w:sz="4" w:space="0" w:color="7EB1E6"/>
            </w:tcBorders>
          </w:tcPr>
          <w:p w14:paraId="3CB33C21" w14:textId="77777777" w:rsidR="00086021" w:rsidRDefault="009E19AB">
            <w:pPr>
              <w:pStyle w:val="TableContents"/>
            </w:pPr>
            <w:r>
              <w:t>1965</w:t>
            </w:r>
          </w:p>
        </w:tc>
        <w:tc>
          <w:tcPr>
            <w:tcW w:w="4558" w:type="dxa"/>
            <w:tcBorders>
              <w:top w:val="single" w:sz="4" w:space="0" w:color="7EB1E6"/>
              <w:left w:val="single" w:sz="4" w:space="0" w:color="7EB1E6"/>
              <w:bottom w:val="single" w:sz="4" w:space="0" w:color="7EB1E6"/>
              <w:right w:val="single" w:sz="4" w:space="0" w:color="7EB1E6"/>
            </w:tcBorders>
          </w:tcPr>
          <w:p w14:paraId="4316A218" w14:textId="77777777" w:rsidR="00086021" w:rsidRDefault="009E19AB">
            <w:pPr>
              <w:pStyle w:val="TableContents"/>
            </w:pPr>
            <w:r>
              <w:t>User fees removed at all public health facilities. Health services provided for free and funded predominantly through tax revenue</w:t>
            </w:r>
          </w:p>
        </w:tc>
        <w:tc>
          <w:tcPr>
            <w:tcW w:w="3476" w:type="dxa"/>
            <w:tcBorders>
              <w:top w:val="single" w:sz="4" w:space="0" w:color="7EB1E6"/>
              <w:left w:val="single" w:sz="4" w:space="0" w:color="7EB1E6"/>
              <w:bottom w:val="single" w:sz="4" w:space="0" w:color="7EB1E6"/>
              <w:right w:val="single" w:sz="4" w:space="0" w:color="7EB1E6"/>
            </w:tcBorders>
          </w:tcPr>
          <w:p w14:paraId="565556F9" w14:textId="77777777" w:rsidR="00086021" w:rsidRDefault="009E19AB">
            <w:pPr>
              <w:pStyle w:val="TableContents"/>
            </w:pPr>
            <w:r>
              <w:t>Enhanced access to healthcare for all.</w:t>
            </w:r>
          </w:p>
        </w:tc>
      </w:tr>
      <w:tr w:rsidR="00086021" w14:paraId="16452D64" w14:textId="77777777">
        <w:trPr>
          <w:trHeight w:val="283"/>
        </w:trPr>
        <w:tc>
          <w:tcPr>
            <w:tcW w:w="992" w:type="dxa"/>
            <w:tcBorders>
              <w:top w:val="single" w:sz="4" w:space="0" w:color="7EB1E6"/>
              <w:left w:val="single" w:sz="4" w:space="0" w:color="7EB1E6"/>
              <w:bottom w:val="single" w:sz="4" w:space="0" w:color="7EB1E6"/>
              <w:right w:val="single" w:sz="4" w:space="0" w:color="7EB1E6"/>
            </w:tcBorders>
            <w:shd w:val="clear" w:color="auto" w:fill="8ACC8E"/>
          </w:tcPr>
          <w:p w14:paraId="623FBAF4" w14:textId="77777777" w:rsidR="00086021" w:rsidRDefault="009E19AB">
            <w:pPr>
              <w:pStyle w:val="TableContents"/>
            </w:pPr>
            <w:r>
              <w:t>1989</w:t>
            </w:r>
          </w:p>
        </w:tc>
        <w:tc>
          <w:tcPr>
            <w:tcW w:w="4558" w:type="dxa"/>
            <w:tcBorders>
              <w:top w:val="single" w:sz="4" w:space="0" w:color="7EB1E6"/>
              <w:left w:val="single" w:sz="4" w:space="0" w:color="7EB1E6"/>
              <w:bottom w:val="single" w:sz="4" w:space="0" w:color="7EB1E6"/>
              <w:right w:val="single" w:sz="4" w:space="0" w:color="7EB1E6"/>
            </w:tcBorders>
            <w:shd w:val="clear" w:color="auto" w:fill="8ACC8E"/>
          </w:tcPr>
          <w:p w14:paraId="41F3FE94" w14:textId="77777777" w:rsidR="00086021" w:rsidRDefault="009E19AB">
            <w:pPr>
              <w:pStyle w:val="TableContents"/>
            </w:pPr>
            <w:r>
              <w:t xml:space="preserve"> User fees introduced in all levels of care.</w:t>
            </w:r>
          </w:p>
        </w:tc>
        <w:tc>
          <w:tcPr>
            <w:tcW w:w="3476" w:type="dxa"/>
            <w:tcBorders>
              <w:top w:val="single" w:sz="4" w:space="0" w:color="7EB1E6"/>
              <w:left w:val="single" w:sz="4" w:space="0" w:color="7EB1E6"/>
              <w:bottom w:val="single" w:sz="4" w:space="0" w:color="7EB1E6"/>
              <w:right w:val="single" w:sz="4" w:space="0" w:color="7EB1E6"/>
            </w:tcBorders>
            <w:shd w:val="clear" w:color="auto" w:fill="8ACC8E"/>
          </w:tcPr>
          <w:p w14:paraId="487A48BC" w14:textId="77777777" w:rsidR="00086021" w:rsidRDefault="009E19AB">
            <w:pPr>
              <w:pStyle w:val="TableContents"/>
            </w:pPr>
            <w:r>
              <w:t>Negatively impacted demand for health care especially among the poorest population</w:t>
            </w:r>
          </w:p>
        </w:tc>
      </w:tr>
      <w:tr w:rsidR="00086021" w14:paraId="7FF98473" w14:textId="77777777">
        <w:trPr>
          <w:trHeight w:val="283"/>
        </w:trPr>
        <w:tc>
          <w:tcPr>
            <w:tcW w:w="992" w:type="dxa"/>
            <w:tcBorders>
              <w:top w:val="single" w:sz="4" w:space="0" w:color="7EB1E6"/>
              <w:left w:val="single" w:sz="4" w:space="0" w:color="7EB1E6"/>
              <w:bottom w:val="single" w:sz="4" w:space="0" w:color="7EB1E6"/>
              <w:right w:val="single" w:sz="4" w:space="0" w:color="7EB1E6"/>
            </w:tcBorders>
          </w:tcPr>
          <w:p w14:paraId="76EB07AD" w14:textId="77777777" w:rsidR="00086021" w:rsidRDefault="009E19AB">
            <w:pPr>
              <w:pStyle w:val="TableContents"/>
            </w:pPr>
            <w:r>
              <w:t>1990</w:t>
            </w:r>
          </w:p>
        </w:tc>
        <w:tc>
          <w:tcPr>
            <w:tcW w:w="4558" w:type="dxa"/>
            <w:tcBorders>
              <w:top w:val="single" w:sz="4" w:space="0" w:color="7EB1E6"/>
              <w:left w:val="single" w:sz="4" w:space="0" w:color="7EB1E6"/>
              <w:bottom w:val="single" w:sz="4" w:space="0" w:color="7EB1E6"/>
              <w:right w:val="single" w:sz="4" w:space="0" w:color="7EB1E6"/>
            </w:tcBorders>
          </w:tcPr>
          <w:p w14:paraId="31927A73" w14:textId="77777777" w:rsidR="00086021" w:rsidRDefault="009E19AB">
            <w:pPr>
              <w:pStyle w:val="TableContents"/>
            </w:pPr>
            <w:r>
              <w:t>User fees suspended in all public health facilities. Waivers and exemption put in place to protect the poor and vulnerable.</w:t>
            </w:r>
          </w:p>
        </w:tc>
        <w:tc>
          <w:tcPr>
            <w:tcW w:w="3476" w:type="dxa"/>
            <w:tcBorders>
              <w:top w:val="single" w:sz="4" w:space="0" w:color="7EB1E6"/>
              <w:left w:val="single" w:sz="4" w:space="0" w:color="7EB1E6"/>
              <w:bottom w:val="single" w:sz="4" w:space="0" w:color="7EB1E6"/>
              <w:right w:val="single" w:sz="4" w:space="0" w:color="7EB1E6"/>
            </w:tcBorders>
          </w:tcPr>
          <w:p w14:paraId="5B705854" w14:textId="77777777" w:rsidR="00086021" w:rsidRDefault="009E19AB">
            <w:pPr>
              <w:pStyle w:val="TableContents"/>
            </w:pPr>
            <w:r>
              <w:t>Increase in utilisation of healthcare</w:t>
            </w:r>
          </w:p>
        </w:tc>
      </w:tr>
      <w:tr w:rsidR="00086021" w14:paraId="58B10341" w14:textId="77777777">
        <w:trPr>
          <w:trHeight w:val="283"/>
        </w:trPr>
        <w:tc>
          <w:tcPr>
            <w:tcW w:w="992" w:type="dxa"/>
            <w:tcBorders>
              <w:top w:val="single" w:sz="4" w:space="0" w:color="7EB1E6"/>
              <w:left w:val="single" w:sz="4" w:space="0" w:color="7EB1E6"/>
              <w:bottom w:val="single" w:sz="4" w:space="0" w:color="7EB1E6"/>
              <w:right w:val="single" w:sz="4" w:space="0" w:color="7EB1E6"/>
            </w:tcBorders>
            <w:shd w:val="clear" w:color="auto" w:fill="8ACC8E"/>
          </w:tcPr>
          <w:p w14:paraId="225B2C3C" w14:textId="77777777" w:rsidR="00086021" w:rsidRDefault="009E19AB">
            <w:pPr>
              <w:pStyle w:val="TableContents"/>
            </w:pPr>
            <w:r>
              <w:t>1991-2003</w:t>
            </w:r>
          </w:p>
        </w:tc>
        <w:tc>
          <w:tcPr>
            <w:tcW w:w="4558" w:type="dxa"/>
            <w:tcBorders>
              <w:top w:val="single" w:sz="4" w:space="0" w:color="7EB1E6"/>
              <w:left w:val="single" w:sz="4" w:space="0" w:color="7EB1E6"/>
              <w:bottom w:val="single" w:sz="4" w:space="0" w:color="7EB1E6"/>
              <w:right w:val="single" w:sz="4" w:space="0" w:color="7EB1E6"/>
            </w:tcBorders>
            <w:shd w:val="clear" w:color="auto" w:fill="8ACC8E"/>
          </w:tcPr>
          <w:p w14:paraId="1EBCC866" w14:textId="77777777" w:rsidR="00086021" w:rsidRDefault="009E19AB">
            <w:pPr>
              <w:pStyle w:val="TableContents"/>
            </w:pPr>
            <w:r>
              <w:t>User fees were re-introduced in 1991, through a phased implementation approach starting from hospital level. Children under five, special conditions/services like immunisation and tuberculosis were exempted from payment.</w:t>
            </w:r>
          </w:p>
        </w:tc>
        <w:tc>
          <w:tcPr>
            <w:tcW w:w="3476" w:type="dxa"/>
            <w:tcBorders>
              <w:top w:val="single" w:sz="4" w:space="0" w:color="7EB1E6"/>
              <w:left w:val="single" w:sz="4" w:space="0" w:color="7EB1E6"/>
              <w:bottom w:val="single" w:sz="4" w:space="0" w:color="7EB1E6"/>
              <w:right w:val="single" w:sz="4" w:space="0" w:color="7EB1E6"/>
            </w:tcBorders>
            <w:shd w:val="clear" w:color="auto" w:fill="8ACC8E"/>
          </w:tcPr>
          <w:p w14:paraId="4B60B949" w14:textId="77777777" w:rsidR="00086021" w:rsidRDefault="009E19AB">
            <w:pPr>
              <w:pStyle w:val="TableContents"/>
            </w:pPr>
            <w:r>
              <w:t>This presented a major barrier to access coupled with high out-of-pocket (OOP) payment.</w:t>
            </w:r>
          </w:p>
        </w:tc>
      </w:tr>
      <w:tr w:rsidR="00086021" w14:paraId="51BE8BFF" w14:textId="77777777">
        <w:trPr>
          <w:trHeight w:val="283"/>
        </w:trPr>
        <w:tc>
          <w:tcPr>
            <w:tcW w:w="992" w:type="dxa"/>
            <w:tcBorders>
              <w:top w:val="single" w:sz="4" w:space="0" w:color="7EB1E6"/>
              <w:left w:val="single" w:sz="4" w:space="0" w:color="7EB1E6"/>
              <w:bottom w:val="single" w:sz="4" w:space="0" w:color="7EB1E6"/>
              <w:right w:val="single" w:sz="4" w:space="0" w:color="7EB1E6"/>
            </w:tcBorders>
          </w:tcPr>
          <w:p w14:paraId="19D6B75F" w14:textId="77777777" w:rsidR="00086021" w:rsidRDefault="009E19AB">
            <w:pPr>
              <w:pStyle w:val="TableContents"/>
            </w:pPr>
            <w:r>
              <w:t>2004</w:t>
            </w:r>
          </w:p>
        </w:tc>
        <w:tc>
          <w:tcPr>
            <w:tcW w:w="4558" w:type="dxa"/>
            <w:tcBorders>
              <w:top w:val="single" w:sz="4" w:space="0" w:color="7EB1E6"/>
              <w:left w:val="single" w:sz="4" w:space="0" w:color="7EB1E6"/>
              <w:bottom w:val="single" w:sz="4" w:space="0" w:color="7EB1E6"/>
              <w:right w:val="single" w:sz="4" w:space="0" w:color="7EB1E6"/>
            </w:tcBorders>
          </w:tcPr>
          <w:p w14:paraId="5D457A6C" w14:textId="77777777" w:rsidR="00086021" w:rsidRDefault="009E19AB">
            <w:pPr>
              <w:pStyle w:val="TableContents"/>
            </w:pPr>
            <w:r>
              <w:t>User fees abolished at dispensaries and health centres (the lowest levels of care), and instead a registration fee of Kenya shillings 10 and 20 respectively was introduced. Children under five, the poor, special conditions/services like malaria and tuberculosis were exempted from payment.</w:t>
            </w:r>
          </w:p>
        </w:tc>
        <w:tc>
          <w:tcPr>
            <w:tcW w:w="3476" w:type="dxa"/>
            <w:tcBorders>
              <w:top w:val="single" w:sz="4" w:space="0" w:color="7EB1E6"/>
              <w:left w:val="single" w:sz="4" w:space="0" w:color="7EB1E6"/>
              <w:bottom w:val="single" w:sz="4" w:space="0" w:color="7EB1E6"/>
              <w:right w:val="single" w:sz="4" w:space="0" w:color="7EB1E6"/>
            </w:tcBorders>
          </w:tcPr>
          <w:p w14:paraId="4D7662F1" w14:textId="77777777" w:rsidR="00086021" w:rsidRDefault="009E19AB">
            <w:pPr>
              <w:pStyle w:val="TableContents"/>
            </w:pPr>
            <w:r>
              <w:t>Utilisation increased by 70%; the large increase was not sustained, although in general utilization was 30% higher than before user fee removal. Adherence to the policy was low, due to cash shortages</w:t>
            </w:r>
          </w:p>
        </w:tc>
      </w:tr>
      <w:tr w:rsidR="00086021" w14:paraId="6AABAAC5" w14:textId="77777777">
        <w:trPr>
          <w:trHeight w:val="283"/>
        </w:trPr>
        <w:tc>
          <w:tcPr>
            <w:tcW w:w="992" w:type="dxa"/>
            <w:tcBorders>
              <w:top w:val="single" w:sz="4" w:space="0" w:color="7EB1E6"/>
              <w:left w:val="single" w:sz="4" w:space="0" w:color="7EB1E6"/>
              <w:bottom w:val="single" w:sz="4" w:space="0" w:color="7EB1E6"/>
              <w:right w:val="single" w:sz="4" w:space="0" w:color="7EB1E6"/>
            </w:tcBorders>
            <w:shd w:val="clear" w:color="auto" w:fill="8ACC8E"/>
          </w:tcPr>
          <w:p w14:paraId="160D8450" w14:textId="77777777" w:rsidR="00086021" w:rsidRDefault="009E19AB">
            <w:pPr>
              <w:pStyle w:val="TableContents"/>
            </w:pPr>
            <w:r>
              <w:t>2007</w:t>
            </w:r>
          </w:p>
        </w:tc>
        <w:tc>
          <w:tcPr>
            <w:tcW w:w="4558" w:type="dxa"/>
            <w:tcBorders>
              <w:top w:val="single" w:sz="4" w:space="0" w:color="7EB1E6"/>
              <w:left w:val="single" w:sz="4" w:space="0" w:color="7EB1E6"/>
              <w:bottom w:val="single" w:sz="4" w:space="0" w:color="7EB1E6"/>
              <w:right w:val="single" w:sz="4" w:space="0" w:color="7EB1E6"/>
            </w:tcBorders>
            <w:shd w:val="clear" w:color="auto" w:fill="8ACC8E"/>
          </w:tcPr>
          <w:p w14:paraId="1F99C044" w14:textId="77777777" w:rsidR="00086021" w:rsidRDefault="009E19AB">
            <w:pPr>
              <w:pStyle w:val="TableContents"/>
            </w:pPr>
            <w:r>
              <w:t>All fees for deliveries at public health facilities were abolished</w:t>
            </w:r>
          </w:p>
        </w:tc>
        <w:tc>
          <w:tcPr>
            <w:tcW w:w="3476" w:type="dxa"/>
            <w:tcBorders>
              <w:top w:val="single" w:sz="4" w:space="0" w:color="7EB1E6"/>
              <w:left w:val="single" w:sz="4" w:space="0" w:color="7EB1E6"/>
              <w:bottom w:val="single" w:sz="4" w:space="0" w:color="7EB1E6"/>
              <w:right w:val="single" w:sz="4" w:space="0" w:color="7EB1E6"/>
            </w:tcBorders>
            <w:shd w:val="clear" w:color="auto" w:fill="8ACC8E"/>
          </w:tcPr>
          <w:p w14:paraId="6871A3F4" w14:textId="77777777" w:rsidR="00086021" w:rsidRDefault="009E19AB">
            <w:pPr>
              <w:pStyle w:val="TableContents"/>
            </w:pPr>
            <w:r>
              <w:t>No data on the extent to which policy was implemented and no evaluation has taken place.</w:t>
            </w:r>
          </w:p>
        </w:tc>
      </w:tr>
      <w:tr w:rsidR="00086021" w14:paraId="6F33F2DE" w14:textId="77777777">
        <w:trPr>
          <w:trHeight w:val="283"/>
        </w:trPr>
        <w:tc>
          <w:tcPr>
            <w:tcW w:w="992" w:type="dxa"/>
            <w:tcBorders>
              <w:top w:val="single" w:sz="4" w:space="0" w:color="7EB1E6"/>
              <w:left w:val="single" w:sz="4" w:space="0" w:color="7EB1E6"/>
              <w:bottom w:val="single" w:sz="4" w:space="0" w:color="7EB1E6"/>
              <w:right w:val="single" w:sz="4" w:space="0" w:color="7EB1E6"/>
            </w:tcBorders>
          </w:tcPr>
          <w:p w14:paraId="56C32D51" w14:textId="77777777" w:rsidR="00086021" w:rsidRDefault="009E19AB">
            <w:pPr>
              <w:pStyle w:val="TableContents"/>
            </w:pPr>
            <w:r>
              <w:t>2010</w:t>
            </w:r>
          </w:p>
        </w:tc>
        <w:tc>
          <w:tcPr>
            <w:tcW w:w="4558" w:type="dxa"/>
            <w:tcBorders>
              <w:top w:val="single" w:sz="4" w:space="0" w:color="7EB1E6"/>
              <w:left w:val="single" w:sz="4" w:space="0" w:color="7EB1E6"/>
              <w:bottom w:val="single" w:sz="4" w:space="0" w:color="7EB1E6"/>
              <w:right w:val="single" w:sz="4" w:space="0" w:color="7EB1E6"/>
            </w:tcBorders>
          </w:tcPr>
          <w:p w14:paraId="18AE6FE5" w14:textId="77777777" w:rsidR="00086021" w:rsidRDefault="009E19AB">
            <w:pPr>
              <w:pStyle w:val="TableContents"/>
            </w:pPr>
            <w:r>
              <w:t>HSSF was introduced to compensate facilities for lost revenue associated with user fee removal. Dispensaries and health centres were to receive funds directly into their bank accounts from the treasury.</w:t>
            </w:r>
          </w:p>
        </w:tc>
        <w:tc>
          <w:tcPr>
            <w:tcW w:w="3476" w:type="dxa"/>
            <w:tcBorders>
              <w:top w:val="single" w:sz="4" w:space="0" w:color="7EB1E6"/>
              <w:left w:val="single" w:sz="4" w:space="0" w:color="7EB1E6"/>
              <w:bottom w:val="single" w:sz="4" w:space="0" w:color="7EB1E6"/>
              <w:right w:val="single" w:sz="4" w:space="0" w:color="7EB1E6"/>
            </w:tcBorders>
          </w:tcPr>
          <w:p w14:paraId="77075424" w14:textId="77777777" w:rsidR="00086021" w:rsidRDefault="009E19AB">
            <w:pPr>
              <w:pStyle w:val="TableContents"/>
            </w:pPr>
            <w:r>
              <w:t>Possible positive impacts on adherence to fee removal policy and equity.</w:t>
            </w:r>
          </w:p>
        </w:tc>
      </w:tr>
      <w:tr w:rsidR="00086021" w14:paraId="03BA6843" w14:textId="77777777">
        <w:trPr>
          <w:trHeight w:val="283"/>
        </w:trPr>
        <w:tc>
          <w:tcPr>
            <w:tcW w:w="992" w:type="dxa"/>
            <w:tcBorders>
              <w:top w:val="single" w:sz="4" w:space="0" w:color="7EB1E6"/>
              <w:left w:val="single" w:sz="4" w:space="0" w:color="7EB1E6"/>
              <w:bottom w:val="single" w:sz="4" w:space="0" w:color="7EB1E6"/>
              <w:right w:val="single" w:sz="4" w:space="0" w:color="7EB1E6"/>
            </w:tcBorders>
            <w:shd w:val="clear" w:color="auto" w:fill="8ACC8E"/>
          </w:tcPr>
          <w:p w14:paraId="36F9305A" w14:textId="77777777" w:rsidR="00086021" w:rsidRDefault="009E19AB">
            <w:pPr>
              <w:pStyle w:val="TableContents"/>
            </w:pPr>
            <w:r>
              <w:t>2013</w:t>
            </w:r>
          </w:p>
        </w:tc>
        <w:tc>
          <w:tcPr>
            <w:tcW w:w="4558" w:type="dxa"/>
            <w:tcBorders>
              <w:top w:val="single" w:sz="4" w:space="0" w:color="7EB1E6"/>
              <w:left w:val="single" w:sz="4" w:space="0" w:color="7EB1E6"/>
              <w:bottom w:val="single" w:sz="4" w:space="0" w:color="7EB1E6"/>
              <w:right w:val="single" w:sz="4" w:space="0" w:color="7EB1E6"/>
            </w:tcBorders>
            <w:shd w:val="clear" w:color="auto" w:fill="8ACC8E"/>
          </w:tcPr>
          <w:p w14:paraId="10C0B05C" w14:textId="77777777" w:rsidR="00086021" w:rsidRDefault="009E19AB">
            <w:pPr>
              <w:pStyle w:val="TableContents"/>
            </w:pPr>
            <w:r>
              <w:t>Decentralization of healthcare begins. Free maternity services administered by Ministry of Health (MOH)</w:t>
            </w:r>
          </w:p>
          <w:p w14:paraId="4B3A6DB9" w14:textId="77777777" w:rsidR="00086021" w:rsidRDefault="009E19AB">
            <w:pPr>
              <w:pStyle w:val="TableContents"/>
            </w:pPr>
            <w:r>
              <w:t xml:space="preserve"> </w:t>
            </w:r>
          </w:p>
        </w:tc>
        <w:tc>
          <w:tcPr>
            <w:tcW w:w="3476" w:type="dxa"/>
            <w:tcBorders>
              <w:top w:val="single" w:sz="4" w:space="0" w:color="7EB1E6"/>
              <w:left w:val="single" w:sz="4" w:space="0" w:color="7EB1E6"/>
              <w:bottom w:val="single" w:sz="4" w:space="0" w:color="7EB1E6"/>
              <w:right w:val="single" w:sz="4" w:space="0" w:color="7EB1E6"/>
            </w:tcBorders>
            <w:shd w:val="clear" w:color="auto" w:fill="8ACC8E"/>
          </w:tcPr>
          <w:p w14:paraId="1B9023CE" w14:textId="77777777" w:rsidR="00086021" w:rsidRDefault="009E19AB">
            <w:pPr>
              <w:pStyle w:val="TableContents"/>
            </w:pPr>
            <w:r>
              <w:t>Increased utilization of maternity services</w:t>
            </w:r>
          </w:p>
        </w:tc>
      </w:tr>
      <w:tr w:rsidR="00086021" w14:paraId="10056460" w14:textId="77777777">
        <w:trPr>
          <w:trHeight w:val="283"/>
        </w:trPr>
        <w:tc>
          <w:tcPr>
            <w:tcW w:w="992" w:type="dxa"/>
            <w:tcBorders>
              <w:top w:val="single" w:sz="4" w:space="0" w:color="7EB1E6"/>
              <w:left w:val="single" w:sz="4" w:space="0" w:color="7EB1E6"/>
              <w:bottom w:val="single" w:sz="4" w:space="0" w:color="7EB1E6"/>
              <w:right w:val="single" w:sz="4" w:space="0" w:color="7EB1E6"/>
            </w:tcBorders>
          </w:tcPr>
          <w:p w14:paraId="213E7E53" w14:textId="77777777" w:rsidR="00086021" w:rsidRDefault="009E19AB">
            <w:pPr>
              <w:pStyle w:val="TableContents"/>
            </w:pPr>
            <w:r>
              <w:t>2015</w:t>
            </w:r>
          </w:p>
        </w:tc>
        <w:tc>
          <w:tcPr>
            <w:tcW w:w="4558" w:type="dxa"/>
            <w:tcBorders>
              <w:top w:val="single" w:sz="4" w:space="0" w:color="7EB1E6"/>
              <w:left w:val="single" w:sz="4" w:space="0" w:color="7EB1E6"/>
              <w:bottom w:val="single" w:sz="4" w:space="0" w:color="7EB1E6"/>
              <w:right w:val="single" w:sz="4" w:space="0" w:color="7EB1E6"/>
            </w:tcBorders>
          </w:tcPr>
          <w:p w14:paraId="75810187" w14:textId="77777777" w:rsidR="00086021" w:rsidRDefault="009E19AB">
            <w:pPr>
              <w:pStyle w:val="TableContents"/>
            </w:pPr>
            <w:r>
              <w:t>Enhanced NHIF premiums and benefits. Free maternity services funds transferred to NHIF as “Linda Mama” program. Health Insurance Subsidies Program (HISP)</w:t>
            </w:r>
          </w:p>
        </w:tc>
        <w:tc>
          <w:tcPr>
            <w:tcW w:w="3476" w:type="dxa"/>
            <w:tcBorders>
              <w:top w:val="single" w:sz="4" w:space="0" w:color="7EB1E6"/>
              <w:left w:val="single" w:sz="4" w:space="0" w:color="7EB1E6"/>
              <w:bottom w:val="single" w:sz="4" w:space="0" w:color="7EB1E6"/>
              <w:right w:val="single" w:sz="4" w:space="0" w:color="7EB1E6"/>
            </w:tcBorders>
          </w:tcPr>
          <w:p w14:paraId="71248DE7" w14:textId="77777777" w:rsidR="00086021" w:rsidRDefault="009E19AB">
            <w:pPr>
              <w:pStyle w:val="TableContents"/>
            </w:pPr>
            <w:r>
              <w:t>Increased access to services.</w:t>
            </w:r>
          </w:p>
          <w:p w14:paraId="2264CC7C" w14:textId="77777777" w:rsidR="00086021" w:rsidRDefault="009E19AB">
            <w:pPr>
              <w:pStyle w:val="TableContents"/>
            </w:pPr>
            <w:r>
              <w:t>Regressive contributory mechanism for the informal sector</w:t>
            </w:r>
          </w:p>
        </w:tc>
      </w:tr>
      <w:tr w:rsidR="00086021" w14:paraId="36AB9B5C" w14:textId="77777777">
        <w:trPr>
          <w:trHeight w:val="283"/>
        </w:trPr>
        <w:tc>
          <w:tcPr>
            <w:tcW w:w="992" w:type="dxa"/>
            <w:tcBorders>
              <w:top w:val="single" w:sz="4" w:space="0" w:color="7EB1E6"/>
              <w:left w:val="single" w:sz="4" w:space="0" w:color="7EB1E6"/>
              <w:bottom w:val="single" w:sz="4" w:space="0" w:color="7EB1E6"/>
              <w:right w:val="single" w:sz="4" w:space="0" w:color="7EB1E6"/>
            </w:tcBorders>
            <w:shd w:val="clear" w:color="auto" w:fill="8ACC8E"/>
          </w:tcPr>
          <w:p w14:paraId="39E87A9C" w14:textId="77777777" w:rsidR="00086021" w:rsidRDefault="009E19AB">
            <w:pPr>
              <w:pStyle w:val="TableContents"/>
            </w:pPr>
            <w:r>
              <w:t>2016</w:t>
            </w:r>
          </w:p>
        </w:tc>
        <w:tc>
          <w:tcPr>
            <w:tcW w:w="4558" w:type="dxa"/>
            <w:tcBorders>
              <w:top w:val="single" w:sz="4" w:space="0" w:color="7EB1E6"/>
              <w:left w:val="single" w:sz="4" w:space="0" w:color="7EB1E6"/>
              <w:bottom w:val="single" w:sz="4" w:space="0" w:color="7EB1E6"/>
              <w:right w:val="single" w:sz="4" w:space="0" w:color="7EB1E6"/>
            </w:tcBorders>
            <w:shd w:val="clear" w:color="auto" w:fill="8ACC8E"/>
          </w:tcPr>
          <w:p w14:paraId="26B4944E" w14:textId="77777777" w:rsidR="00086021" w:rsidRDefault="009E19AB">
            <w:pPr>
              <w:pStyle w:val="TableContents"/>
            </w:pPr>
            <w:r>
              <w:t>County health financing initiatives such as Makueni UHC and “OparanyaCare” in Kakamega County</w:t>
            </w:r>
          </w:p>
        </w:tc>
        <w:tc>
          <w:tcPr>
            <w:tcW w:w="3476" w:type="dxa"/>
            <w:tcBorders>
              <w:top w:val="single" w:sz="4" w:space="0" w:color="7EB1E6"/>
              <w:left w:val="single" w:sz="4" w:space="0" w:color="7EB1E6"/>
              <w:bottom w:val="single" w:sz="4" w:space="0" w:color="7EB1E6"/>
              <w:right w:val="single" w:sz="4" w:space="0" w:color="7EB1E6"/>
            </w:tcBorders>
            <w:shd w:val="clear" w:color="auto" w:fill="8ACC8E"/>
          </w:tcPr>
          <w:p w14:paraId="78AA41CF" w14:textId="77777777" w:rsidR="00086021" w:rsidRDefault="009E19AB">
            <w:pPr>
              <w:pStyle w:val="TableContents"/>
            </w:pPr>
            <w:r>
              <w:t>Triggered similar initiatives across other counties</w:t>
            </w:r>
          </w:p>
        </w:tc>
      </w:tr>
      <w:tr w:rsidR="00086021" w14:paraId="7F9B3885" w14:textId="77777777">
        <w:trPr>
          <w:trHeight w:val="283"/>
        </w:trPr>
        <w:tc>
          <w:tcPr>
            <w:tcW w:w="992" w:type="dxa"/>
            <w:tcBorders>
              <w:top w:val="single" w:sz="4" w:space="0" w:color="7EB1E6"/>
              <w:left w:val="single" w:sz="4" w:space="0" w:color="7EB1E6"/>
              <w:bottom w:val="single" w:sz="4" w:space="0" w:color="7EB1E6"/>
              <w:right w:val="single" w:sz="4" w:space="0" w:color="7EB1E6"/>
            </w:tcBorders>
          </w:tcPr>
          <w:p w14:paraId="7073E752" w14:textId="77777777" w:rsidR="00086021" w:rsidRDefault="009E19AB">
            <w:pPr>
              <w:pStyle w:val="TableContents"/>
            </w:pPr>
            <w:r>
              <w:t>2017</w:t>
            </w:r>
          </w:p>
        </w:tc>
        <w:tc>
          <w:tcPr>
            <w:tcW w:w="4558" w:type="dxa"/>
            <w:tcBorders>
              <w:top w:val="single" w:sz="4" w:space="0" w:color="7EB1E6"/>
              <w:left w:val="single" w:sz="4" w:space="0" w:color="7EB1E6"/>
              <w:bottom w:val="single" w:sz="4" w:space="0" w:color="7EB1E6"/>
              <w:right w:val="single" w:sz="4" w:space="0" w:color="7EB1E6"/>
            </w:tcBorders>
          </w:tcPr>
          <w:p w14:paraId="297E18E5" w14:textId="77777777" w:rsidR="00086021" w:rsidRDefault="009E19AB">
            <w:pPr>
              <w:pStyle w:val="TableContents"/>
            </w:pPr>
            <w:r>
              <w:t>The government declares attainment of UHC by 2022 as one of the main agenda</w:t>
            </w:r>
          </w:p>
          <w:p w14:paraId="658DD671" w14:textId="77777777" w:rsidR="00086021" w:rsidRDefault="009E19AB">
            <w:pPr>
              <w:pStyle w:val="TableContents"/>
            </w:pPr>
            <w:r>
              <w:t xml:space="preserve"> </w:t>
            </w:r>
          </w:p>
        </w:tc>
        <w:tc>
          <w:tcPr>
            <w:tcW w:w="3476" w:type="dxa"/>
            <w:tcBorders>
              <w:top w:val="single" w:sz="4" w:space="0" w:color="7EB1E6"/>
              <w:left w:val="single" w:sz="4" w:space="0" w:color="7EB1E6"/>
              <w:bottom w:val="single" w:sz="4" w:space="0" w:color="7EB1E6"/>
              <w:right w:val="single" w:sz="4" w:space="0" w:color="7EB1E6"/>
            </w:tcBorders>
          </w:tcPr>
          <w:p w14:paraId="0D68914F" w14:textId="77777777" w:rsidR="00086021" w:rsidRDefault="009E19AB">
            <w:pPr>
              <w:pStyle w:val="TableContents"/>
            </w:pPr>
            <w:r>
              <w:t>Increased focus on health as well as funding by the government</w:t>
            </w:r>
          </w:p>
        </w:tc>
      </w:tr>
    </w:tbl>
    <w:p w14:paraId="00D448B2" w14:textId="77777777" w:rsidR="00086021" w:rsidRDefault="00086021">
      <w:pPr>
        <w:pStyle w:val="TableContents"/>
      </w:pPr>
    </w:p>
    <w:tbl>
      <w:tblPr>
        <w:tblW w:w="5000" w:type="pct"/>
        <w:tblInd w:w="108" w:type="dxa"/>
        <w:tblLook w:val="04A0" w:firstRow="1" w:lastRow="0" w:firstColumn="1" w:lastColumn="0" w:noHBand="0" w:noVBand="1"/>
      </w:tblPr>
      <w:tblGrid>
        <w:gridCol w:w="991"/>
        <w:gridCol w:w="4553"/>
        <w:gridCol w:w="3472"/>
      </w:tblGrid>
      <w:tr w:rsidR="00086021" w14:paraId="03147612" w14:textId="77777777">
        <w:trPr>
          <w:trHeight w:val="283"/>
        </w:trPr>
        <w:tc>
          <w:tcPr>
            <w:tcW w:w="992" w:type="dxa"/>
            <w:tcBorders>
              <w:top w:val="single" w:sz="4" w:space="0" w:color="7EB1E6"/>
              <w:left w:val="single" w:sz="4" w:space="0" w:color="7EB1E6"/>
              <w:bottom w:val="single" w:sz="4" w:space="0" w:color="7EB1E6"/>
              <w:right w:val="single" w:sz="4" w:space="0" w:color="7EB1E6"/>
            </w:tcBorders>
            <w:shd w:val="clear" w:color="auto" w:fill="8ACC8E"/>
          </w:tcPr>
          <w:p w14:paraId="6AF58A3C" w14:textId="77777777" w:rsidR="00086021" w:rsidRDefault="009E19AB">
            <w:pPr>
              <w:pStyle w:val="TableContents"/>
              <w:rPr>
                <w:szCs w:val="18"/>
              </w:rPr>
            </w:pPr>
            <w:r>
              <w:rPr>
                <w:szCs w:val="18"/>
              </w:rPr>
              <w:t>2018</w:t>
            </w:r>
          </w:p>
        </w:tc>
        <w:tc>
          <w:tcPr>
            <w:tcW w:w="4558" w:type="dxa"/>
            <w:tcBorders>
              <w:top w:val="single" w:sz="4" w:space="0" w:color="7EB1E6"/>
              <w:left w:val="single" w:sz="4" w:space="0" w:color="7EB1E6"/>
              <w:bottom w:val="single" w:sz="4" w:space="0" w:color="7EB1E6"/>
              <w:right w:val="single" w:sz="4" w:space="0" w:color="7EB1E6"/>
            </w:tcBorders>
            <w:shd w:val="clear" w:color="auto" w:fill="8ACC8E"/>
          </w:tcPr>
          <w:p w14:paraId="68C51B21" w14:textId="77777777" w:rsidR="00086021" w:rsidRDefault="009E19AB">
            <w:pPr>
              <w:pStyle w:val="TableContents"/>
              <w:rPr>
                <w:szCs w:val="18"/>
              </w:rPr>
            </w:pPr>
            <w:r>
              <w:rPr>
                <w:rFonts w:eastAsia="Abadi Extra Light" w:cs="Abadi Extra Light"/>
                <w:szCs w:val="18"/>
              </w:rPr>
              <w:t>Launch of</w:t>
            </w:r>
            <w:r>
              <w:rPr>
                <w:rFonts w:eastAsia="Abadi Extra Light" w:cs="Abadi Extra Light"/>
                <w:i/>
                <w:szCs w:val="18"/>
              </w:rPr>
              <w:t xml:space="preserve"> EduAfya</w:t>
            </w:r>
            <w:r>
              <w:rPr>
                <w:rFonts w:eastAsia="Abadi Extra Light" w:cs="Abadi Extra Light"/>
                <w:szCs w:val="18"/>
              </w:rPr>
              <w:t>, a comprehensive insurance cover for public secondary school students during the duration of study.</w:t>
            </w:r>
          </w:p>
        </w:tc>
        <w:tc>
          <w:tcPr>
            <w:tcW w:w="3476" w:type="dxa"/>
            <w:tcBorders>
              <w:top w:val="single" w:sz="4" w:space="0" w:color="7EB1E6"/>
              <w:left w:val="single" w:sz="4" w:space="0" w:color="7EB1E6"/>
              <w:bottom w:val="single" w:sz="4" w:space="0" w:color="7EB1E6"/>
              <w:right w:val="single" w:sz="4" w:space="0" w:color="7EB1E6"/>
            </w:tcBorders>
            <w:shd w:val="clear" w:color="auto" w:fill="8ACC8E"/>
          </w:tcPr>
          <w:p w14:paraId="6CAEA59D" w14:textId="77777777" w:rsidR="00086021" w:rsidRDefault="009E19AB">
            <w:pPr>
              <w:pStyle w:val="TableContents"/>
              <w:rPr>
                <w:szCs w:val="18"/>
              </w:rPr>
            </w:pPr>
            <w:r>
              <w:rPr>
                <w:rFonts w:eastAsia="Abadi Extra Light" w:cs="Abadi Extra Light"/>
                <w:szCs w:val="18"/>
              </w:rPr>
              <w:t xml:space="preserve">Improved access but introduced challenges of dual coverage (As students in </w:t>
            </w:r>
            <w:r>
              <w:rPr>
                <w:rFonts w:eastAsia="Abadi Extra Light" w:cs="Abadi Extra Light"/>
                <w:i/>
                <w:szCs w:val="18"/>
              </w:rPr>
              <w:t>EduAfya</w:t>
            </w:r>
            <w:r>
              <w:rPr>
                <w:rFonts w:eastAsia="Abadi Extra Light" w:cs="Abadi Extra Light"/>
                <w:szCs w:val="18"/>
              </w:rPr>
              <w:t xml:space="preserve"> and dependents within NHIF). It also did not prioritize Adolescent Sexual Reproductive Health (Appleford &amp; Mbuthia, 2020)</w:t>
            </w:r>
          </w:p>
        </w:tc>
      </w:tr>
      <w:tr w:rsidR="00086021" w14:paraId="085DB681" w14:textId="77777777">
        <w:trPr>
          <w:trHeight w:val="283"/>
        </w:trPr>
        <w:tc>
          <w:tcPr>
            <w:tcW w:w="992" w:type="dxa"/>
            <w:tcBorders>
              <w:top w:val="single" w:sz="4" w:space="0" w:color="7EB1E6"/>
              <w:left w:val="single" w:sz="4" w:space="0" w:color="7EB1E6"/>
              <w:bottom w:val="single" w:sz="4" w:space="0" w:color="7EB1E6"/>
              <w:right w:val="single" w:sz="4" w:space="0" w:color="7EB1E6"/>
            </w:tcBorders>
          </w:tcPr>
          <w:p w14:paraId="430231BC" w14:textId="77777777" w:rsidR="00086021" w:rsidRDefault="009E19AB">
            <w:pPr>
              <w:pStyle w:val="TableContents"/>
              <w:rPr>
                <w:szCs w:val="18"/>
              </w:rPr>
            </w:pPr>
            <w:r>
              <w:rPr>
                <w:szCs w:val="18"/>
              </w:rPr>
              <w:t>2018</w:t>
            </w:r>
          </w:p>
        </w:tc>
        <w:tc>
          <w:tcPr>
            <w:tcW w:w="4558" w:type="dxa"/>
            <w:tcBorders>
              <w:top w:val="single" w:sz="4" w:space="0" w:color="7EB1E6"/>
              <w:left w:val="single" w:sz="4" w:space="0" w:color="7EB1E6"/>
              <w:bottom w:val="single" w:sz="4" w:space="0" w:color="7EB1E6"/>
              <w:right w:val="single" w:sz="4" w:space="0" w:color="7EB1E6"/>
            </w:tcBorders>
          </w:tcPr>
          <w:p w14:paraId="463ABEAF" w14:textId="77777777" w:rsidR="00086021" w:rsidRDefault="009E19AB">
            <w:pPr>
              <w:pStyle w:val="TableContents"/>
              <w:rPr>
                <w:szCs w:val="18"/>
              </w:rPr>
            </w:pPr>
            <w:r>
              <w:rPr>
                <w:szCs w:val="18"/>
              </w:rPr>
              <w:t>UHC pilot program across 4 counties (Machakos, Isiolo, Nyeri and Kisumu)</w:t>
            </w:r>
          </w:p>
        </w:tc>
        <w:tc>
          <w:tcPr>
            <w:tcW w:w="3476" w:type="dxa"/>
            <w:tcBorders>
              <w:top w:val="single" w:sz="4" w:space="0" w:color="7EB1E6"/>
              <w:left w:val="single" w:sz="4" w:space="0" w:color="7EB1E6"/>
              <w:bottom w:val="single" w:sz="4" w:space="0" w:color="7EB1E6"/>
              <w:right w:val="single" w:sz="4" w:space="0" w:color="7EB1E6"/>
            </w:tcBorders>
          </w:tcPr>
          <w:p w14:paraId="56B211B2" w14:textId="77777777" w:rsidR="00086021" w:rsidRDefault="009E19AB">
            <w:pPr>
              <w:pStyle w:val="TableContents"/>
              <w:rPr>
                <w:szCs w:val="18"/>
              </w:rPr>
            </w:pPr>
            <w:r>
              <w:rPr>
                <w:szCs w:val="18"/>
              </w:rPr>
              <w:t>Improved access to primary care by populations in the pilot counties.</w:t>
            </w:r>
          </w:p>
        </w:tc>
      </w:tr>
    </w:tbl>
    <w:p w14:paraId="0E2F285E" w14:textId="77777777" w:rsidR="00086021" w:rsidRDefault="00086021"/>
    <w:p w14:paraId="422C45C9" w14:textId="77777777" w:rsidR="00086021" w:rsidRDefault="009E19AB">
      <w:pPr>
        <w:pStyle w:val="BodyText"/>
        <w:rPr>
          <w:i/>
          <w:iCs/>
          <w:sz w:val="16"/>
          <w:szCs w:val="16"/>
        </w:rPr>
      </w:pPr>
      <w:r>
        <w:rPr>
          <w:i/>
          <w:iCs/>
          <w:sz w:val="16"/>
          <w:szCs w:val="16"/>
        </w:rPr>
        <w:t>Source: Analysis by the consultant</w:t>
      </w:r>
    </w:p>
    <w:p w14:paraId="377E0D3B" w14:textId="77777777" w:rsidR="00086021" w:rsidRDefault="00086021"/>
    <w:p w14:paraId="79CE68C5" w14:textId="77777777" w:rsidR="00086021" w:rsidRDefault="00086021"/>
    <w:p w14:paraId="7E9653AF" w14:textId="77777777" w:rsidR="00086021" w:rsidRDefault="00086021"/>
    <w:p w14:paraId="6815662B" w14:textId="77777777" w:rsidR="00086021" w:rsidRDefault="00086021"/>
    <w:p w14:paraId="17FD7ABB" w14:textId="77777777" w:rsidR="00086021" w:rsidRDefault="00086021"/>
    <w:p w14:paraId="725A1C1E" w14:textId="77777777" w:rsidR="00086021" w:rsidRDefault="00086021"/>
    <w:p w14:paraId="05F58FFB" w14:textId="77777777" w:rsidR="00086021" w:rsidRDefault="00086021"/>
    <w:p w14:paraId="38A14502" w14:textId="77777777" w:rsidR="00086021" w:rsidRDefault="009E19AB">
      <w:r>
        <w:br w:type="page"/>
      </w:r>
    </w:p>
    <w:p w14:paraId="1DE139BE" w14:textId="77777777" w:rsidR="00086021" w:rsidRDefault="00086021"/>
    <w:p w14:paraId="6470E398" w14:textId="77777777" w:rsidR="00086021" w:rsidRDefault="009E19AB">
      <w:pPr>
        <w:pStyle w:val="Heading3"/>
      </w:pPr>
      <w:r>
        <w:t>Annex 4: Comparison of the 3 generations of the Revenue Sharing Formula in Kenya</w:t>
      </w:r>
    </w:p>
    <w:p w14:paraId="59D8398D" w14:textId="77777777" w:rsidR="00086021" w:rsidRDefault="00086021"/>
    <w:tbl>
      <w:tblPr>
        <w:tblW w:w="9880" w:type="dxa"/>
        <w:tblInd w:w="108" w:type="dxa"/>
        <w:tblLook w:val="04A0" w:firstRow="1" w:lastRow="0" w:firstColumn="1" w:lastColumn="0" w:noHBand="0" w:noVBand="1"/>
      </w:tblPr>
      <w:tblGrid>
        <w:gridCol w:w="959"/>
        <w:gridCol w:w="2860"/>
        <w:gridCol w:w="2129"/>
        <w:gridCol w:w="1277"/>
        <w:gridCol w:w="1354"/>
        <w:gridCol w:w="1301"/>
      </w:tblGrid>
      <w:tr w:rsidR="00086021" w14:paraId="66F89822" w14:textId="77777777">
        <w:trPr>
          <w:trHeight w:val="300"/>
        </w:trPr>
        <w:tc>
          <w:tcPr>
            <w:tcW w:w="959" w:type="dxa"/>
            <w:tcBorders>
              <w:top w:val="single" w:sz="4" w:space="0" w:color="000000"/>
              <w:left w:val="single" w:sz="4" w:space="0" w:color="000000"/>
              <w:bottom w:val="single" w:sz="4" w:space="0" w:color="000000"/>
              <w:right w:val="single" w:sz="4" w:space="0" w:color="000000"/>
            </w:tcBorders>
            <w:shd w:val="clear" w:color="auto" w:fill="C9211E"/>
          </w:tcPr>
          <w:p w14:paraId="5724AF50" w14:textId="77777777" w:rsidR="00086021" w:rsidRDefault="009E19AB">
            <w:pPr>
              <w:pStyle w:val="TableContents"/>
              <w:rPr>
                <w:color w:val="FEFEFE"/>
              </w:rPr>
            </w:pPr>
            <w:r>
              <w:rPr>
                <w:color w:val="FEFEFE"/>
              </w:rPr>
              <w:t>No</w:t>
            </w:r>
          </w:p>
        </w:tc>
        <w:tc>
          <w:tcPr>
            <w:tcW w:w="2860" w:type="dxa"/>
            <w:tcBorders>
              <w:top w:val="single" w:sz="4" w:space="0" w:color="000000"/>
              <w:left w:val="single" w:sz="4" w:space="0" w:color="000000"/>
              <w:bottom w:val="single" w:sz="4" w:space="0" w:color="000000"/>
              <w:right w:val="single" w:sz="4" w:space="0" w:color="000000"/>
            </w:tcBorders>
            <w:shd w:val="clear" w:color="auto" w:fill="C9211E"/>
          </w:tcPr>
          <w:p w14:paraId="356668C7" w14:textId="77777777" w:rsidR="00086021" w:rsidRDefault="009E19AB">
            <w:pPr>
              <w:pStyle w:val="TableContents"/>
              <w:rPr>
                <w:color w:val="FEFEFE"/>
              </w:rPr>
            </w:pPr>
            <w:r>
              <w:rPr>
                <w:color w:val="FEFEFE"/>
              </w:rPr>
              <w:t>Objectives</w:t>
            </w:r>
          </w:p>
        </w:tc>
        <w:tc>
          <w:tcPr>
            <w:tcW w:w="2129" w:type="dxa"/>
            <w:tcBorders>
              <w:top w:val="single" w:sz="4" w:space="0" w:color="000000"/>
              <w:left w:val="single" w:sz="4" w:space="0" w:color="000000"/>
              <w:bottom w:val="single" w:sz="4" w:space="0" w:color="000000"/>
              <w:right w:val="single" w:sz="4" w:space="0" w:color="000000"/>
            </w:tcBorders>
            <w:shd w:val="clear" w:color="auto" w:fill="C9211E"/>
          </w:tcPr>
          <w:p w14:paraId="34CE7688" w14:textId="77777777" w:rsidR="00086021" w:rsidRDefault="009E19AB">
            <w:pPr>
              <w:pStyle w:val="TableContents"/>
              <w:rPr>
                <w:color w:val="FEFEFE"/>
              </w:rPr>
            </w:pPr>
            <w:r>
              <w:rPr>
                <w:color w:val="FEFEFE"/>
              </w:rPr>
              <w:t>Parameters</w:t>
            </w:r>
          </w:p>
        </w:tc>
        <w:tc>
          <w:tcPr>
            <w:tcW w:w="1277" w:type="dxa"/>
            <w:tcBorders>
              <w:top w:val="single" w:sz="4" w:space="0" w:color="000000"/>
              <w:left w:val="single" w:sz="4" w:space="0" w:color="000000"/>
              <w:bottom w:val="single" w:sz="4" w:space="0" w:color="000000"/>
              <w:right w:val="single" w:sz="4" w:space="0" w:color="000000"/>
            </w:tcBorders>
            <w:shd w:val="clear" w:color="auto" w:fill="C9211E"/>
          </w:tcPr>
          <w:p w14:paraId="6FA609E2" w14:textId="77777777" w:rsidR="00086021" w:rsidRDefault="009E19AB">
            <w:pPr>
              <w:pStyle w:val="TableContents"/>
              <w:rPr>
                <w:color w:val="FEFEFE"/>
              </w:rPr>
            </w:pPr>
            <w:r>
              <w:rPr>
                <w:color w:val="FEFEFE"/>
              </w:rPr>
              <w:t>1st Formula</w:t>
            </w:r>
          </w:p>
        </w:tc>
        <w:tc>
          <w:tcPr>
            <w:tcW w:w="1354" w:type="dxa"/>
            <w:tcBorders>
              <w:top w:val="single" w:sz="4" w:space="0" w:color="000000"/>
              <w:left w:val="single" w:sz="4" w:space="0" w:color="000000"/>
              <w:bottom w:val="single" w:sz="4" w:space="0" w:color="000000"/>
              <w:right w:val="single" w:sz="4" w:space="0" w:color="000000"/>
            </w:tcBorders>
            <w:shd w:val="clear" w:color="auto" w:fill="C9211E"/>
          </w:tcPr>
          <w:p w14:paraId="4FD61212" w14:textId="77777777" w:rsidR="00086021" w:rsidRDefault="009E19AB">
            <w:pPr>
              <w:pStyle w:val="TableContents"/>
              <w:rPr>
                <w:color w:val="FEFEFE"/>
              </w:rPr>
            </w:pPr>
            <w:r>
              <w:rPr>
                <w:color w:val="FEFEFE"/>
              </w:rPr>
              <w:t>2nd Formula</w:t>
            </w:r>
          </w:p>
        </w:tc>
        <w:tc>
          <w:tcPr>
            <w:tcW w:w="1301" w:type="dxa"/>
            <w:tcBorders>
              <w:top w:val="single" w:sz="4" w:space="0" w:color="000000"/>
              <w:left w:val="single" w:sz="4" w:space="0" w:color="000000"/>
              <w:bottom w:val="single" w:sz="4" w:space="0" w:color="000000"/>
              <w:right w:val="single" w:sz="4" w:space="0" w:color="000000"/>
            </w:tcBorders>
            <w:shd w:val="clear" w:color="auto" w:fill="C9211E"/>
          </w:tcPr>
          <w:p w14:paraId="628016D3" w14:textId="77777777" w:rsidR="00086021" w:rsidRDefault="009E19AB">
            <w:pPr>
              <w:pStyle w:val="TableContents"/>
              <w:rPr>
                <w:color w:val="FEFEFE"/>
              </w:rPr>
            </w:pPr>
            <w:r>
              <w:rPr>
                <w:color w:val="FEFEFE"/>
              </w:rPr>
              <w:t>3rd Formula</w:t>
            </w:r>
          </w:p>
        </w:tc>
      </w:tr>
      <w:tr w:rsidR="00086021" w14:paraId="0C611238" w14:textId="77777777">
        <w:trPr>
          <w:trHeight w:val="280"/>
        </w:trPr>
        <w:tc>
          <w:tcPr>
            <w:tcW w:w="959" w:type="dxa"/>
            <w:vMerge w:val="restart"/>
            <w:tcBorders>
              <w:top w:val="single" w:sz="4" w:space="0" w:color="000000"/>
              <w:left w:val="single" w:sz="4" w:space="0" w:color="000000"/>
              <w:bottom w:val="single" w:sz="4" w:space="0" w:color="000000"/>
              <w:right w:val="single" w:sz="4" w:space="0" w:color="000000"/>
            </w:tcBorders>
            <w:shd w:val="clear" w:color="auto" w:fill="8ACC8E"/>
          </w:tcPr>
          <w:p w14:paraId="69F13760" w14:textId="77777777" w:rsidR="00086021" w:rsidRDefault="009E19AB">
            <w:pPr>
              <w:pStyle w:val="TableContents"/>
            </w:pPr>
            <w:r>
              <w:t>1</w:t>
            </w:r>
          </w:p>
        </w:tc>
        <w:tc>
          <w:tcPr>
            <w:tcW w:w="2860" w:type="dxa"/>
            <w:vMerge w:val="restart"/>
            <w:tcBorders>
              <w:top w:val="single" w:sz="4" w:space="0" w:color="000000"/>
              <w:left w:val="single" w:sz="4" w:space="0" w:color="000000"/>
              <w:bottom w:val="single" w:sz="4" w:space="0" w:color="000000"/>
              <w:right w:val="single" w:sz="4" w:space="0" w:color="000000"/>
            </w:tcBorders>
            <w:shd w:val="clear" w:color="auto" w:fill="8ACC8E"/>
          </w:tcPr>
          <w:p w14:paraId="65E654B6" w14:textId="77777777" w:rsidR="00086021" w:rsidRDefault="009E19AB">
            <w:pPr>
              <w:pStyle w:val="TableContents"/>
            </w:pPr>
            <w:r>
              <w:t>Enhance service delivery</w:t>
            </w:r>
          </w:p>
        </w:tc>
        <w:tc>
          <w:tcPr>
            <w:tcW w:w="2129" w:type="dxa"/>
            <w:tcBorders>
              <w:top w:val="single" w:sz="4" w:space="0" w:color="000000"/>
              <w:left w:val="single" w:sz="4" w:space="0" w:color="000000"/>
              <w:bottom w:val="single" w:sz="4" w:space="0" w:color="000000"/>
              <w:right w:val="single" w:sz="4" w:space="0" w:color="000000"/>
            </w:tcBorders>
            <w:shd w:val="clear" w:color="auto" w:fill="8ACC8E"/>
          </w:tcPr>
          <w:p w14:paraId="504CA71A" w14:textId="77777777" w:rsidR="00086021" w:rsidRDefault="009E19AB">
            <w:pPr>
              <w:pStyle w:val="TableContents"/>
            </w:pPr>
            <w:r>
              <w:t>Population</w:t>
            </w:r>
          </w:p>
        </w:tc>
        <w:tc>
          <w:tcPr>
            <w:tcW w:w="1277" w:type="dxa"/>
            <w:tcBorders>
              <w:top w:val="single" w:sz="4" w:space="0" w:color="000000"/>
              <w:left w:val="single" w:sz="4" w:space="0" w:color="000000"/>
              <w:bottom w:val="single" w:sz="4" w:space="0" w:color="000000"/>
              <w:right w:val="single" w:sz="4" w:space="0" w:color="000000"/>
            </w:tcBorders>
            <w:shd w:val="clear" w:color="auto" w:fill="8ACC8E"/>
          </w:tcPr>
          <w:p w14:paraId="27B37A3F" w14:textId="77777777" w:rsidR="00086021" w:rsidRDefault="009E19AB">
            <w:pPr>
              <w:pStyle w:val="TableContents"/>
            </w:pPr>
            <w:r>
              <w:t>45%</w:t>
            </w:r>
          </w:p>
        </w:tc>
        <w:tc>
          <w:tcPr>
            <w:tcW w:w="1354" w:type="dxa"/>
            <w:tcBorders>
              <w:top w:val="single" w:sz="4" w:space="0" w:color="000000"/>
              <w:left w:val="single" w:sz="4" w:space="0" w:color="000000"/>
              <w:bottom w:val="single" w:sz="4" w:space="0" w:color="000000"/>
              <w:right w:val="single" w:sz="4" w:space="0" w:color="000000"/>
            </w:tcBorders>
            <w:shd w:val="clear" w:color="auto" w:fill="8ACC8E"/>
          </w:tcPr>
          <w:p w14:paraId="2B6588A6" w14:textId="77777777" w:rsidR="00086021" w:rsidRDefault="009E19AB">
            <w:pPr>
              <w:pStyle w:val="TableContents"/>
            </w:pPr>
            <w:r>
              <w:t>45%</w:t>
            </w:r>
          </w:p>
        </w:tc>
        <w:tc>
          <w:tcPr>
            <w:tcW w:w="1301" w:type="dxa"/>
            <w:tcBorders>
              <w:top w:val="single" w:sz="4" w:space="0" w:color="000000"/>
              <w:left w:val="single" w:sz="4" w:space="0" w:color="000000"/>
              <w:bottom w:val="single" w:sz="4" w:space="0" w:color="000000"/>
              <w:right w:val="single" w:sz="4" w:space="0" w:color="000000"/>
            </w:tcBorders>
            <w:shd w:val="clear" w:color="auto" w:fill="8ACC8E"/>
          </w:tcPr>
          <w:p w14:paraId="7137FFE6" w14:textId="77777777" w:rsidR="00086021" w:rsidRDefault="009E19AB">
            <w:pPr>
              <w:pStyle w:val="TableContents"/>
            </w:pPr>
            <w:r>
              <w:t>18%</w:t>
            </w:r>
          </w:p>
        </w:tc>
      </w:tr>
      <w:tr w:rsidR="00086021" w14:paraId="4AC72A7D" w14:textId="77777777">
        <w:trPr>
          <w:trHeight w:val="300"/>
        </w:trPr>
        <w:tc>
          <w:tcPr>
            <w:tcW w:w="959" w:type="dxa"/>
            <w:vMerge/>
            <w:tcBorders>
              <w:top w:val="single" w:sz="4" w:space="0" w:color="000000"/>
              <w:left w:val="single" w:sz="4" w:space="0" w:color="000000"/>
              <w:bottom w:val="single" w:sz="4" w:space="0" w:color="000000"/>
              <w:right w:val="single" w:sz="4" w:space="0" w:color="000000"/>
            </w:tcBorders>
            <w:shd w:val="clear" w:color="auto" w:fill="8ACC8E"/>
          </w:tcPr>
          <w:p w14:paraId="0304A4F8" w14:textId="77777777" w:rsidR="00086021" w:rsidRDefault="00086021"/>
        </w:tc>
        <w:tc>
          <w:tcPr>
            <w:tcW w:w="2860" w:type="dxa"/>
            <w:vMerge/>
            <w:tcBorders>
              <w:top w:val="single" w:sz="4" w:space="0" w:color="000000"/>
              <w:left w:val="single" w:sz="4" w:space="0" w:color="000000"/>
              <w:bottom w:val="single" w:sz="4" w:space="0" w:color="000000"/>
              <w:right w:val="single" w:sz="4" w:space="0" w:color="000000"/>
            </w:tcBorders>
            <w:shd w:val="clear" w:color="auto" w:fill="8ACC8E"/>
          </w:tcPr>
          <w:p w14:paraId="64398187" w14:textId="77777777" w:rsidR="00086021" w:rsidRDefault="00086021"/>
        </w:tc>
        <w:tc>
          <w:tcPr>
            <w:tcW w:w="2129" w:type="dxa"/>
            <w:tcBorders>
              <w:top w:val="single" w:sz="4" w:space="0" w:color="000000"/>
              <w:left w:val="single" w:sz="4" w:space="0" w:color="000000"/>
              <w:bottom w:val="single" w:sz="4" w:space="0" w:color="000000"/>
              <w:right w:val="single" w:sz="4" w:space="0" w:color="000000"/>
            </w:tcBorders>
          </w:tcPr>
          <w:p w14:paraId="0D2B042C" w14:textId="77777777" w:rsidR="00086021" w:rsidRDefault="009E19AB">
            <w:pPr>
              <w:pStyle w:val="TableContents"/>
            </w:pPr>
            <w:r>
              <w:t>Health</w:t>
            </w:r>
          </w:p>
        </w:tc>
        <w:tc>
          <w:tcPr>
            <w:tcW w:w="1277" w:type="dxa"/>
            <w:tcBorders>
              <w:top w:val="single" w:sz="4" w:space="0" w:color="000000"/>
              <w:left w:val="single" w:sz="4" w:space="0" w:color="000000"/>
              <w:bottom w:val="single" w:sz="4" w:space="0" w:color="000000"/>
              <w:right w:val="single" w:sz="4" w:space="0" w:color="000000"/>
            </w:tcBorders>
          </w:tcPr>
          <w:p w14:paraId="464BB439" w14:textId="77777777" w:rsidR="00086021" w:rsidRDefault="009E19AB">
            <w:pPr>
              <w:pStyle w:val="TableContents"/>
            </w:pPr>
            <w:r>
              <w:t>0%</w:t>
            </w:r>
          </w:p>
        </w:tc>
        <w:tc>
          <w:tcPr>
            <w:tcW w:w="1354" w:type="dxa"/>
            <w:tcBorders>
              <w:top w:val="single" w:sz="4" w:space="0" w:color="000000"/>
              <w:left w:val="single" w:sz="4" w:space="0" w:color="000000"/>
              <w:bottom w:val="single" w:sz="4" w:space="0" w:color="000000"/>
              <w:right w:val="single" w:sz="4" w:space="0" w:color="000000"/>
            </w:tcBorders>
          </w:tcPr>
          <w:p w14:paraId="614DB6F0" w14:textId="77777777" w:rsidR="00086021" w:rsidRDefault="009E19AB">
            <w:pPr>
              <w:pStyle w:val="TableContents"/>
            </w:pPr>
            <w:r>
              <w:t>0%</w:t>
            </w:r>
          </w:p>
        </w:tc>
        <w:tc>
          <w:tcPr>
            <w:tcW w:w="1301" w:type="dxa"/>
            <w:tcBorders>
              <w:top w:val="single" w:sz="4" w:space="0" w:color="000000"/>
              <w:left w:val="single" w:sz="4" w:space="0" w:color="000000"/>
              <w:bottom w:val="single" w:sz="4" w:space="0" w:color="000000"/>
              <w:right w:val="single" w:sz="4" w:space="0" w:color="000000"/>
            </w:tcBorders>
          </w:tcPr>
          <w:p w14:paraId="7D6FF2EB" w14:textId="77777777" w:rsidR="00086021" w:rsidRDefault="009E19AB">
            <w:pPr>
              <w:pStyle w:val="TableContents"/>
            </w:pPr>
            <w:r>
              <w:t>17%</w:t>
            </w:r>
          </w:p>
        </w:tc>
      </w:tr>
      <w:tr w:rsidR="00086021" w14:paraId="1E952DA0" w14:textId="77777777">
        <w:trPr>
          <w:trHeight w:val="280"/>
        </w:trPr>
        <w:tc>
          <w:tcPr>
            <w:tcW w:w="959" w:type="dxa"/>
            <w:vMerge/>
            <w:tcBorders>
              <w:top w:val="single" w:sz="4" w:space="0" w:color="000000"/>
              <w:left w:val="single" w:sz="4" w:space="0" w:color="000000"/>
              <w:bottom w:val="single" w:sz="4" w:space="0" w:color="000000"/>
              <w:right w:val="single" w:sz="4" w:space="0" w:color="000000"/>
            </w:tcBorders>
            <w:shd w:val="clear" w:color="auto" w:fill="8ACC8E"/>
          </w:tcPr>
          <w:p w14:paraId="55B5E6D5" w14:textId="77777777" w:rsidR="00086021" w:rsidRDefault="00086021"/>
        </w:tc>
        <w:tc>
          <w:tcPr>
            <w:tcW w:w="2860" w:type="dxa"/>
            <w:vMerge/>
            <w:tcBorders>
              <w:top w:val="single" w:sz="4" w:space="0" w:color="000000"/>
              <w:left w:val="single" w:sz="4" w:space="0" w:color="000000"/>
              <w:bottom w:val="single" w:sz="4" w:space="0" w:color="000000"/>
              <w:right w:val="single" w:sz="4" w:space="0" w:color="000000"/>
            </w:tcBorders>
            <w:shd w:val="clear" w:color="auto" w:fill="8ACC8E"/>
          </w:tcPr>
          <w:p w14:paraId="3E656906" w14:textId="77777777" w:rsidR="00086021" w:rsidRDefault="00086021"/>
        </w:tc>
        <w:tc>
          <w:tcPr>
            <w:tcW w:w="2129" w:type="dxa"/>
            <w:tcBorders>
              <w:top w:val="single" w:sz="4" w:space="0" w:color="000000"/>
              <w:left w:val="single" w:sz="4" w:space="0" w:color="000000"/>
              <w:bottom w:val="single" w:sz="4" w:space="0" w:color="000000"/>
              <w:right w:val="single" w:sz="4" w:space="0" w:color="000000"/>
            </w:tcBorders>
            <w:shd w:val="clear" w:color="auto" w:fill="8ACC8E"/>
          </w:tcPr>
          <w:p w14:paraId="537AD762" w14:textId="77777777" w:rsidR="00086021" w:rsidRDefault="009E19AB">
            <w:pPr>
              <w:pStyle w:val="TableContents"/>
            </w:pPr>
            <w:r>
              <w:t>Agriculture</w:t>
            </w:r>
          </w:p>
        </w:tc>
        <w:tc>
          <w:tcPr>
            <w:tcW w:w="1277" w:type="dxa"/>
            <w:tcBorders>
              <w:top w:val="single" w:sz="4" w:space="0" w:color="000000"/>
              <w:left w:val="single" w:sz="4" w:space="0" w:color="000000"/>
              <w:bottom w:val="single" w:sz="4" w:space="0" w:color="000000"/>
              <w:right w:val="single" w:sz="4" w:space="0" w:color="000000"/>
            </w:tcBorders>
            <w:shd w:val="clear" w:color="auto" w:fill="8ACC8E"/>
          </w:tcPr>
          <w:p w14:paraId="2AA59A07" w14:textId="77777777" w:rsidR="00086021" w:rsidRDefault="009E19AB">
            <w:pPr>
              <w:pStyle w:val="TableContents"/>
            </w:pPr>
            <w:r>
              <w:t>0%</w:t>
            </w:r>
          </w:p>
        </w:tc>
        <w:tc>
          <w:tcPr>
            <w:tcW w:w="1354" w:type="dxa"/>
            <w:tcBorders>
              <w:top w:val="single" w:sz="4" w:space="0" w:color="000000"/>
              <w:left w:val="single" w:sz="4" w:space="0" w:color="000000"/>
              <w:bottom w:val="single" w:sz="4" w:space="0" w:color="000000"/>
              <w:right w:val="single" w:sz="4" w:space="0" w:color="000000"/>
            </w:tcBorders>
            <w:shd w:val="clear" w:color="auto" w:fill="8ACC8E"/>
          </w:tcPr>
          <w:p w14:paraId="2E12C6B3" w14:textId="77777777" w:rsidR="00086021" w:rsidRDefault="009E19AB">
            <w:pPr>
              <w:pStyle w:val="TableContents"/>
            </w:pPr>
            <w:r>
              <w:t>0%</w:t>
            </w:r>
          </w:p>
        </w:tc>
        <w:tc>
          <w:tcPr>
            <w:tcW w:w="1301" w:type="dxa"/>
            <w:tcBorders>
              <w:top w:val="single" w:sz="4" w:space="0" w:color="000000"/>
              <w:left w:val="single" w:sz="4" w:space="0" w:color="000000"/>
              <w:bottom w:val="single" w:sz="4" w:space="0" w:color="000000"/>
              <w:right w:val="single" w:sz="4" w:space="0" w:color="000000"/>
            </w:tcBorders>
            <w:shd w:val="clear" w:color="auto" w:fill="8ACC8E"/>
          </w:tcPr>
          <w:p w14:paraId="215D97CC" w14:textId="77777777" w:rsidR="00086021" w:rsidRDefault="009E19AB">
            <w:pPr>
              <w:pStyle w:val="TableContents"/>
            </w:pPr>
            <w:r>
              <w:t>10%</w:t>
            </w:r>
          </w:p>
        </w:tc>
      </w:tr>
      <w:tr w:rsidR="00086021" w14:paraId="36E1AC55" w14:textId="77777777">
        <w:trPr>
          <w:trHeight w:val="280"/>
        </w:trPr>
        <w:tc>
          <w:tcPr>
            <w:tcW w:w="959" w:type="dxa"/>
            <w:vMerge/>
            <w:tcBorders>
              <w:top w:val="single" w:sz="4" w:space="0" w:color="000000"/>
              <w:left w:val="single" w:sz="4" w:space="0" w:color="000000"/>
              <w:bottom w:val="single" w:sz="4" w:space="0" w:color="000000"/>
              <w:right w:val="single" w:sz="4" w:space="0" w:color="000000"/>
            </w:tcBorders>
            <w:shd w:val="clear" w:color="auto" w:fill="8ACC8E"/>
          </w:tcPr>
          <w:p w14:paraId="5C0415A9" w14:textId="77777777" w:rsidR="00086021" w:rsidRDefault="00086021"/>
        </w:tc>
        <w:tc>
          <w:tcPr>
            <w:tcW w:w="2860" w:type="dxa"/>
            <w:vMerge/>
            <w:tcBorders>
              <w:top w:val="single" w:sz="4" w:space="0" w:color="000000"/>
              <w:left w:val="single" w:sz="4" w:space="0" w:color="000000"/>
              <w:bottom w:val="single" w:sz="4" w:space="0" w:color="000000"/>
              <w:right w:val="single" w:sz="4" w:space="0" w:color="000000"/>
            </w:tcBorders>
            <w:shd w:val="clear" w:color="auto" w:fill="8ACC8E"/>
          </w:tcPr>
          <w:p w14:paraId="23BFD9A0" w14:textId="77777777" w:rsidR="00086021" w:rsidRDefault="00086021"/>
        </w:tc>
        <w:tc>
          <w:tcPr>
            <w:tcW w:w="2129" w:type="dxa"/>
            <w:tcBorders>
              <w:top w:val="single" w:sz="4" w:space="0" w:color="000000"/>
              <w:left w:val="single" w:sz="4" w:space="0" w:color="000000"/>
              <w:bottom w:val="single" w:sz="4" w:space="0" w:color="000000"/>
              <w:right w:val="single" w:sz="4" w:space="0" w:color="000000"/>
            </w:tcBorders>
          </w:tcPr>
          <w:p w14:paraId="120C91D0" w14:textId="77777777" w:rsidR="00086021" w:rsidRDefault="009E19AB">
            <w:pPr>
              <w:pStyle w:val="TableContents"/>
            </w:pPr>
            <w:r>
              <w:t>Basic Equal Share</w:t>
            </w:r>
          </w:p>
        </w:tc>
        <w:tc>
          <w:tcPr>
            <w:tcW w:w="1277" w:type="dxa"/>
            <w:tcBorders>
              <w:top w:val="single" w:sz="4" w:space="0" w:color="000000"/>
              <w:left w:val="single" w:sz="4" w:space="0" w:color="000000"/>
              <w:bottom w:val="single" w:sz="4" w:space="0" w:color="000000"/>
              <w:right w:val="single" w:sz="4" w:space="0" w:color="000000"/>
            </w:tcBorders>
          </w:tcPr>
          <w:p w14:paraId="0742A55E" w14:textId="77777777" w:rsidR="00086021" w:rsidRDefault="009E19AB">
            <w:pPr>
              <w:pStyle w:val="TableContents"/>
            </w:pPr>
            <w:r>
              <w:t>25%</w:t>
            </w:r>
          </w:p>
        </w:tc>
        <w:tc>
          <w:tcPr>
            <w:tcW w:w="1354" w:type="dxa"/>
            <w:tcBorders>
              <w:top w:val="single" w:sz="4" w:space="0" w:color="000000"/>
              <w:left w:val="single" w:sz="4" w:space="0" w:color="000000"/>
              <w:bottom w:val="single" w:sz="4" w:space="0" w:color="000000"/>
              <w:right w:val="single" w:sz="4" w:space="0" w:color="000000"/>
            </w:tcBorders>
          </w:tcPr>
          <w:p w14:paraId="22CEC198" w14:textId="77777777" w:rsidR="00086021" w:rsidRDefault="009E19AB">
            <w:pPr>
              <w:pStyle w:val="TableContents"/>
            </w:pPr>
            <w:r>
              <w:t>26%</w:t>
            </w:r>
          </w:p>
        </w:tc>
        <w:tc>
          <w:tcPr>
            <w:tcW w:w="1301" w:type="dxa"/>
            <w:tcBorders>
              <w:top w:val="single" w:sz="4" w:space="0" w:color="000000"/>
              <w:left w:val="single" w:sz="4" w:space="0" w:color="000000"/>
              <w:bottom w:val="single" w:sz="4" w:space="0" w:color="000000"/>
              <w:right w:val="single" w:sz="4" w:space="0" w:color="000000"/>
            </w:tcBorders>
          </w:tcPr>
          <w:p w14:paraId="70E5B1C4" w14:textId="77777777" w:rsidR="00086021" w:rsidRDefault="009E19AB">
            <w:pPr>
              <w:pStyle w:val="TableContents"/>
            </w:pPr>
            <w:r>
              <w:t>20%</w:t>
            </w:r>
          </w:p>
        </w:tc>
      </w:tr>
      <w:tr w:rsidR="00086021" w14:paraId="05C13D54" w14:textId="77777777">
        <w:trPr>
          <w:trHeight w:val="280"/>
        </w:trPr>
        <w:tc>
          <w:tcPr>
            <w:tcW w:w="959" w:type="dxa"/>
            <w:vMerge w:val="restart"/>
            <w:tcBorders>
              <w:top w:val="single" w:sz="4" w:space="0" w:color="000000"/>
              <w:left w:val="single" w:sz="4" w:space="0" w:color="000000"/>
              <w:bottom w:val="single" w:sz="4" w:space="0" w:color="000000"/>
              <w:right w:val="single" w:sz="4" w:space="0" w:color="000000"/>
            </w:tcBorders>
            <w:shd w:val="clear" w:color="auto" w:fill="8ACC8E"/>
          </w:tcPr>
          <w:p w14:paraId="0A9D03BC" w14:textId="77777777" w:rsidR="00086021" w:rsidRDefault="009E19AB">
            <w:pPr>
              <w:pStyle w:val="TableContents"/>
            </w:pPr>
            <w:r>
              <w:t>2</w:t>
            </w:r>
          </w:p>
        </w:tc>
        <w:tc>
          <w:tcPr>
            <w:tcW w:w="2860" w:type="dxa"/>
            <w:vMerge w:val="restart"/>
            <w:tcBorders>
              <w:top w:val="single" w:sz="4" w:space="0" w:color="000000"/>
              <w:left w:val="single" w:sz="4" w:space="0" w:color="000000"/>
              <w:bottom w:val="single" w:sz="4" w:space="0" w:color="000000"/>
              <w:right w:val="single" w:sz="4" w:space="0" w:color="000000"/>
            </w:tcBorders>
            <w:shd w:val="clear" w:color="auto" w:fill="8ACC8E"/>
          </w:tcPr>
          <w:p w14:paraId="44A50861" w14:textId="77777777" w:rsidR="00086021" w:rsidRDefault="009E19AB">
            <w:pPr>
              <w:pStyle w:val="TableContents"/>
            </w:pPr>
            <w:r>
              <w:t>Promote balanced development</w:t>
            </w:r>
          </w:p>
        </w:tc>
        <w:tc>
          <w:tcPr>
            <w:tcW w:w="2129" w:type="dxa"/>
            <w:tcBorders>
              <w:top w:val="single" w:sz="4" w:space="0" w:color="000000"/>
              <w:left w:val="single" w:sz="4" w:space="0" w:color="000000"/>
              <w:bottom w:val="single" w:sz="4" w:space="0" w:color="000000"/>
              <w:right w:val="single" w:sz="4" w:space="0" w:color="000000"/>
            </w:tcBorders>
            <w:shd w:val="clear" w:color="auto" w:fill="8ACC8E"/>
          </w:tcPr>
          <w:p w14:paraId="0A3F5D37" w14:textId="77777777" w:rsidR="00086021" w:rsidRDefault="009E19AB">
            <w:pPr>
              <w:pStyle w:val="TableContents"/>
            </w:pPr>
            <w:r>
              <w:t>Poverty Level</w:t>
            </w:r>
          </w:p>
        </w:tc>
        <w:tc>
          <w:tcPr>
            <w:tcW w:w="1277" w:type="dxa"/>
            <w:tcBorders>
              <w:top w:val="single" w:sz="4" w:space="0" w:color="000000"/>
              <w:left w:val="single" w:sz="4" w:space="0" w:color="000000"/>
              <w:bottom w:val="single" w:sz="4" w:space="0" w:color="000000"/>
              <w:right w:val="single" w:sz="4" w:space="0" w:color="000000"/>
            </w:tcBorders>
            <w:shd w:val="clear" w:color="auto" w:fill="8ACC8E"/>
          </w:tcPr>
          <w:p w14:paraId="3BE7B0A4" w14:textId="77777777" w:rsidR="00086021" w:rsidRDefault="009E19AB">
            <w:pPr>
              <w:pStyle w:val="TableContents"/>
            </w:pPr>
            <w:r>
              <w:t>20%</w:t>
            </w:r>
          </w:p>
        </w:tc>
        <w:tc>
          <w:tcPr>
            <w:tcW w:w="1354" w:type="dxa"/>
            <w:tcBorders>
              <w:top w:val="single" w:sz="4" w:space="0" w:color="000000"/>
              <w:left w:val="single" w:sz="4" w:space="0" w:color="000000"/>
              <w:bottom w:val="single" w:sz="4" w:space="0" w:color="000000"/>
              <w:right w:val="single" w:sz="4" w:space="0" w:color="000000"/>
            </w:tcBorders>
            <w:shd w:val="clear" w:color="auto" w:fill="8ACC8E"/>
          </w:tcPr>
          <w:p w14:paraId="42705D1E" w14:textId="77777777" w:rsidR="00086021" w:rsidRDefault="009E19AB">
            <w:pPr>
              <w:pStyle w:val="TableContents"/>
            </w:pPr>
            <w:r>
              <w:t>18%</w:t>
            </w:r>
          </w:p>
        </w:tc>
        <w:tc>
          <w:tcPr>
            <w:tcW w:w="1301" w:type="dxa"/>
            <w:tcBorders>
              <w:top w:val="single" w:sz="4" w:space="0" w:color="000000"/>
              <w:left w:val="single" w:sz="4" w:space="0" w:color="000000"/>
              <w:bottom w:val="single" w:sz="4" w:space="0" w:color="000000"/>
              <w:right w:val="single" w:sz="4" w:space="0" w:color="000000"/>
            </w:tcBorders>
            <w:shd w:val="clear" w:color="auto" w:fill="8ACC8E"/>
          </w:tcPr>
          <w:p w14:paraId="6BB1240F" w14:textId="77777777" w:rsidR="00086021" w:rsidRDefault="009E19AB">
            <w:pPr>
              <w:pStyle w:val="TableContents"/>
            </w:pPr>
            <w:r>
              <w:t>14%</w:t>
            </w:r>
          </w:p>
        </w:tc>
      </w:tr>
      <w:tr w:rsidR="00086021" w14:paraId="28F2082D" w14:textId="77777777">
        <w:trPr>
          <w:trHeight w:val="280"/>
        </w:trPr>
        <w:tc>
          <w:tcPr>
            <w:tcW w:w="959" w:type="dxa"/>
            <w:vMerge/>
            <w:tcBorders>
              <w:top w:val="single" w:sz="4" w:space="0" w:color="000000"/>
              <w:left w:val="single" w:sz="4" w:space="0" w:color="000000"/>
              <w:bottom w:val="single" w:sz="4" w:space="0" w:color="000000"/>
              <w:right w:val="single" w:sz="4" w:space="0" w:color="000000"/>
            </w:tcBorders>
            <w:shd w:val="clear" w:color="auto" w:fill="8ACC8E"/>
          </w:tcPr>
          <w:p w14:paraId="615A65F4" w14:textId="77777777" w:rsidR="00086021" w:rsidRDefault="00086021"/>
        </w:tc>
        <w:tc>
          <w:tcPr>
            <w:tcW w:w="2860" w:type="dxa"/>
            <w:vMerge/>
            <w:tcBorders>
              <w:top w:val="single" w:sz="4" w:space="0" w:color="000000"/>
              <w:left w:val="single" w:sz="4" w:space="0" w:color="000000"/>
              <w:bottom w:val="single" w:sz="4" w:space="0" w:color="000000"/>
              <w:right w:val="single" w:sz="4" w:space="0" w:color="000000"/>
            </w:tcBorders>
            <w:shd w:val="clear" w:color="auto" w:fill="8ACC8E"/>
          </w:tcPr>
          <w:p w14:paraId="64062272" w14:textId="77777777" w:rsidR="00086021" w:rsidRDefault="00086021"/>
        </w:tc>
        <w:tc>
          <w:tcPr>
            <w:tcW w:w="2129" w:type="dxa"/>
            <w:tcBorders>
              <w:top w:val="single" w:sz="4" w:space="0" w:color="000000"/>
              <w:left w:val="single" w:sz="4" w:space="0" w:color="000000"/>
              <w:bottom w:val="single" w:sz="4" w:space="0" w:color="000000"/>
              <w:right w:val="single" w:sz="4" w:space="0" w:color="000000"/>
            </w:tcBorders>
          </w:tcPr>
          <w:p w14:paraId="5A646354" w14:textId="77777777" w:rsidR="00086021" w:rsidRDefault="009E19AB">
            <w:pPr>
              <w:pStyle w:val="TableContents"/>
            </w:pPr>
            <w:r>
              <w:t>Land Area</w:t>
            </w:r>
          </w:p>
        </w:tc>
        <w:tc>
          <w:tcPr>
            <w:tcW w:w="1277" w:type="dxa"/>
            <w:tcBorders>
              <w:top w:val="single" w:sz="4" w:space="0" w:color="000000"/>
              <w:left w:val="single" w:sz="4" w:space="0" w:color="000000"/>
              <w:bottom w:val="single" w:sz="4" w:space="0" w:color="000000"/>
              <w:right w:val="single" w:sz="4" w:space="0" w:color="000000"/>
            </w:tcBorders>
          </w:tcPr>
          <w:p w14:paraId="58436747" w14:textId="77777777" w:rsidR="00086021" w:rsidRDefault="009E19AB">
            <w:pPr>
              <w:pStyle w:val="TableContents"/>
            </w:pPr>
            <w:r>
              <w:t>8%</w:t>
            </w:r>
          </w:p>
        </w:tc>
        <w:tc>
          <w:tcPr>
            <w:tcW w:w="1354" w:type="dxa"/>
            <w:tcBorders>
              <w:top w:val="single" w:sz="4" w:space="0" w:color="000000"/>
              <w:left w:val="single" w:sz="4" w:space="0" w:color="000000"/>
              <w:bottom w:val="single" w:sz="4" w:space="0" w:color="000000"/>
              <w:right w:val="single" w:sz="4" w:space="0" w:color="000000"/>
            </w:tcBorders>
          </w:tcPr>
          <w:p w14:paraId="2CDDFFDC" w14:textId="77777777" w:rsidR="00086021" w:rsidRDefault="009E19AB">
            <w:pPr>
              <w:pStyle w:val="TableContents"/>
            </w:pPr>
            <w:r>
              <w:t>8%</w:t>
            </w:r>
          </w:p>
        </w:tc>
        <w:tc>
          <w:tcPr>
            <w:tcW w:w="1301" w:type="dxa"/>
            <w:tcBorders>
              <w:top w:val="single" w:sz="4" w:space="0" w:color="000000"/>
              <w:left w:val="single" w:sz="4" w:space="0" w:color="000000"/>
              <w:bottom w:val="single" w:sz="4" w:space="0" w:color="000000"/>
              <w:right w:val="single" w:sz="4" w:space="0" w:color="000000"/>
            </w:tcBorders>
          </w:tcPr>
          <w:p w14:paraId="5BAD786E" w14:textId="77777777" w:rsidR="00086021" w:rsidRDefault="009E19AB">
            <w:pPr>
              <w:pStyle w:val="TableContents"/>
            </w:pPr>
            <w:r>
              <w:t>8%</w:t>
            </w:r>
          </w:p>
        </w:tc>
      </w:tr>
      <w:tr w:rsidR="00086021" w14:paraId="4F38B727" w14:textId="77777777">
        <w:trPr>
          <w:trHeight w:val="280"/>
        </w:trPr>
        <w:tc>
          <w:tcPr>
            <w:tcW w:w="959" w:type="dxa"/>
            <w:vMerge/>
            <w:tcBorders>
              <w:top w:val="single" w:sz="4" w:space="0" w:color="000000"/>
              <w:left w:val="single" w:sz="4" w:space="0" w:color="000000"/>
              <w:bottom w:val="single" w:sz="4" w:space="0" w:color="000000"/>
              <w:right w:val="single" w:sz="4" w:space="0" w:color="000000"/>
            </w:tcBorders>
            <w:shd w:val="clear" w:color="auto" w:fill="8ACC8E"/>
          </w:tcPr>
          <w:p w14:paraId="6830759F" w14:textId="77777777" w:rsidR="00086021" w:rsidRDefault="00086021"/>
        </w:tc>
        <w:tc>
          <w:tcPr>
            <w:tcW w:w="2860" w:type="dxa"/>
            <w:vMerge/>
            <w:tcBorders>
              <w:top w:val="single" w:sz="4" w:space="0" w:color="000000"/>
              <w:left w:val="single" w:sz="4" w:space="0" w:color="000000"/>
              <w:bottom w:val="single" w:sz="4" w:space="0" w:color="000000"/>
              <w:right w:val="single" w:sz="4" w:space="0" w:color="000000"/>
            </w:tcBorders>
            <w:shd w:val="clear" w:color="auto" w:fill="8ACC8E"/>
          </w:tcPr>
          <w:p w14:paraId="261D3559" w14:textId="77777777" w:rsidR="00086021" w:rsidRDefault="00086021"/>
        </w:tc>
        <w:tc>
          <w:tcPr>
            <w:tcW w:w="2129" w:type="dxa"/>
            <w:tcBorders>
              <w:top w:val="single" w:sz="4" w:space="0" w:color="000000"/>
              <w:left w:val="single" w:sz="4" w:space="0" w:color="000000"/>
              <w:bottom w:val="single" w:sz="4" w:space="0" w:color="000000"/>
              <w:right w:val="single" w:sz="4" w:space="0" w:color="000000"/>
            </w:tcBorders>
            <w:shd w:val="clear" w:color="auto" w:fill="8ACC8E"/>
          </w:tcPr>
          <w:p w14:paraId="49944FFA" w14:textId="77777777" w:rsidR="00086021" w:rsidRDefault="009E19AB">
            <w:pPr>
              <w:pStyle w:val="TableContents"/>
            </w:pPr>
            <w:r>
              <w:t>Roads</w:t>
            </w:r>
          </w:p>
        </w:tc>
        <w:tc>
          <w:tcPr>
            <w:tcW w:w="1277" w:type="dxa"/>
            <w:tcBorders>
              <w:top w:val="single" w:sz="4" w:space="0" w:color="000000"/>
              <w:left w:val="single" w:sz="4" w:space="0" w:color="000000"/>
              <w:bottom w:val="single" w:sz="4" w:space="0" w:color="000000"/>
              <w:right w:val="single" w:sz="4" w:space="0" w:color="000000"/>
            </w:tcBorders>
            <w:shd w:val="clear" w:color="auto" w:fill="8ACC8E"/>
          </w:tcPr>
          <w:p w14:paraId="59CD0FF2" w14:textId="77777777" w:rsidR="00086021" w:rsidRDefault="009E19AB">
            <w:pPr>
              <w:pStyle w:val="TableContents"/>
            </w:pPr>
            <w:r>
              <w:t>0%</w:t>
            </w:r>
          </w:p>
        </w:tc>
        <w:tc>
          <w:tcPr>
            <w:tcW w:w="1354" w:type="dxa"/>
            <w:tcBorders>
              <w:top w:val="single" w:sz="4" w:space="0" w:color="000000"/>
              <w:left w:val="single" w:sz="4" w:space="0" w:color="000000"/>
              <w:bottom w:val="single" w:sz="4" w:space="0" w:color="000000"/>
              <w:right w:val="single" w:sz="4" w:space="0" w:color="000000"/>
            </w:tcBorders>
            <w:shd w:val="clear" w:color="auto" w:fill="8ACC8E"/>
          </w:tcPr>
          <w:p w14:paraId="2AE9A6DC" w14:textId="77777777" w:rsidR="00086021" w:rsidRDefault="009E19AB">
            <w:pPr>
              <w:pStyle w:val="TableContents"/>
            </w:pPr>
            <w:r>
              <w:t>0%</w:t>
            </w:r>
          </w:p>
        </w:tc>
        <w:tc>
          <w:tcPr>
            <w:tcW w:w="1301" w:type="dxa"/>
            <w:tcBorders>
              <w:top w:val="single" w:sz="4" w:space="0" w:color="000000"/>
              <w:left w:val="single" w:sz="4" w:space="0" w:color="000000"/>
              <w:bottom w:val="single" w:sz="4" w:space="0" w:color="000000"/>
              <w:right w:val="single" w:sz="4" w:space="0" w:color="000000"/>
            </w:tcBorders>
            <w:shd w:val="clear" w:color="auto" w:fill="8ACC8E"/>
          </w:tcPr>
          <w:p w14:paraId="60B307A2" w14:textId="77777777" w:rsidR="00086021" w:rsidRDefault="009E19AB">
            <w:pPr>
              <w:pStyle w:val="TableContents"/>
            </w:pPr>
            <w:r>
              <w:t>8%</w:t>
            </w:r>
          </w:p>
        </w:tc>
      </w:tr>
      <w:tr w:rsidR="00086021" w14:paraId="64731B07" w14:textId="77777777">
        <w:trPr>
          <w:trHeight w:val="280"/>
        </w:trPr>
        <w:tc>
          <w:tcPr>
            <w:tcW w:w="959" w:type="dxa"/>
            <w:vMerge/>
            <w:tcBorders>
              <w:top w:val="single" w:sz="4" w:space="0" w:color="000000"/>
              <w:left w:val="single" w:sz="4" w:space="0" w:color="000000"/>
              <w:bottom w:val="single" w:sz="4" w:space="0" w:color="000000"/>
              <w:right w:val="single" w:sz="4" w:space="0" w:color="000000"/>
            </w:tcBorders>
            <w:shd w:val="clear" w:color="auto" w:fill="8ACC8E"/>
          </w:tcPr>
          <w:p w14:paraId="4DD7432F" w14:textId="77777777" w:rsidR="00086021" w:rsidRDefault="00086021"/>
        </w:tc>
        <w:tc>
          <w:tcPr>
            <w:tcW w:w="2860" w:type="dxa"/>
            <w:vMerge/>
            <w:tcBorders>
              <w:top w:val="single" w:sz="4" w:space="0" w:color="000000"/>
              <w:left w:val="single" w:sz="4" w:space="0" w:color="000000"/>
              <w:bottom w:val="single" w:sz="4" w:space="0" w:color="000000"/>
              <w:right w:val="single" w:sz="4" w:space="0" w:color="000000"/>
            </w:tcBorders>
            <w:shd w:val="clear" w:color="auto" w:fill="8ACC8E"/>
          </w:tcPr>
          <w:p w14:paraId="5639511E" w14:textId="77777777" w:rsidR="00086021" w:rsidRDefault="00086021"/>
        </w:tc>
        <w:tc>
          <w:tcPr>
            <w:tcW w:w="2129" w:type="dxa"/>
            <w:tcBorders>
              <w:top w:val="single" w:sz="4" w:space="0" w:color="000000"/>
              <w:left w:val="single" w:sz="4" w:space="0" w:color="000000"/>
              <w:bottom w:val="single" w:sz="4" w:space="0" w:color="000000"/>
              <w:right w:val="single" w:sz="4" w:space="0" w:color="000000"/>
            </w:tcBorders>
          </w:tcPr>
          <w:p w14:paraId="6FE9CD14" w14:textId="77777777" w:rsidR="00086021" w:rsidRDefault="009E19AB">
            <w:pPr>
              <w:pStyle w:val="TableContents"/>
            </w:pPr>
            <w:r>
              <w:t>Urban services</w:t>
            </w:r>
          </w:p>
        </w:tc>
        <w:tc>
          <w:tcPr>
            <w:tcW w:w="1277" w:type="dxa"/>
            <w:tcBorders>
              <w:top w:val="single" w:sz="4" w:space="0" w:color="000000"/>
              <w:left w:val="single" w:sz="4" w:space="0" w:color="000000"/>
              <w:bottom w:val="single" w:sz="4" w:space="0" w:color="000000"/>
              <w:right w:val="single" w:sz="4" w:space="0" w:color="000000"/>
            </w:tcBorders>
          </w:tcPr>
          <w:p w14:paraId="776D68A8" w14:textId="77777777" w:rsidR="00086021" w:rsidRDefault="009E19AB">
            <w:pPr>
              <w:pStyle w:val="TableContents"/>
            </w:pPr>
            <w:r>
              <w:t>0%</w:t>
            </w:r>
          </w:p>
        </w:tc>
        <w:tc>
          <w:tcPr>
            <w:tcW w:w="1354" w:type="dxa"/>
            <w:tcBorders>
              <w:top w:val="single" w:sz="4" w:space="0" w:color="000000"/>
              <w:left w:val="single" w:sz="4" w:space="0" w:color="000000"/>
              <w:bottom w:val="single" w:sz="4" w:space="0" w:color="000000"/>
              <w:right w:val="single" w:sz="4" w:space="0" w:color="000000"/>
            </w:tcBorders>
          </w:tcPr>
          <w:p w14:paraId="3B54E08E" w14:textId="77777777" w:rsidR="00086021" w:rsidRDefault="009E19AB">
            <w:pPr>
              <w:pStyle w:val="TableContents"/>
            </w:pPr>
            <w:r>
              <w:t>0%</w:t>
            </w:r>
          </w:p>
        </w:tc>
        <w:tc>
          <w:tcPr>
            <w:tcW w:w="1301" w:type="dxa"/>
            <w:tcBorders>
              <w:top w:val="single" w:sz="4" w:space="0" w:color="000000"/>
              <w:left w:val="single" w:sz="4" w:space="0" w:color="000000"/>
              <w:bottom w:val="single" w:sz="4" w:space="0" w:color="000000"/>
              <w:right w:val="single" w:sz="4" w:space="0" w:color="000000"/>
            </w:tcBorders>
          </w:tcPr>
          <w:p w14:paraId="4237743D" w14:textId="77777777" w:rsidR="00086021" w:rsidRDefault="009E19AB">
            <w:pPr>
              <w:pStyle w:val="TableContents"/>
            </w:pPr>
            <w:r>
              <w:t>5%</w:t>
            </w:r>
          </w:p>
        </w:tc>
      </w:tr>
      <w:tr w:rsidR="00086021" w14:paraId="189F21FE" w14:textId="77777777">
        <w:trPr>
          <w:trHeight w:val="280"/>
        </w:trPr>
        <w:tc>
          <w:tcPr>
            <w:tcW w:w="959" w:type="dxa"/>
            <w:vMerge/>
            <w:tcBorders>
              <w:top w:val="single" w:sz="4" w:space="0" w:color="000000"/>
              <w:left w:val="single" w:sz="4" w:space="0" w:color="000000"/>
              <w:bottom w:val="single" w:sz="4" w:space="0" w:color="000000"/>
              <w:right w:val="single" w:sz="4" w:space="0" w:color="000000"/>
            </w:tcBorders>
            <w:shd w:val="clear" w:color="auto" w:fill="8ACC8E"/>
          </w:tcPr>
          <w:p w14:paraId="2EE0D7B3" w14:textId="77777777" w:rsidR="00086021" w:rsidRDefault="00086021"/>
        </w:tc>
        <w:tc>
          <w:tcPr>
            <w:tcW w:w="2860" w:type="dxa"/>
            <w:vMerge/>
            <w:tcBorders>
              <w:top w:val="single" w:sz="4" w:space="0" w:color="000000"/>
              <w:left w:val="single" w:sz="4" w:space="0" w:color="000000"/>
              <w:bottom w:val="single" w:sz="4" w:space="0" w:color="000000"/>
              <w:right w:val="single" w:sz="4" w:space="0" w:color="000000"/>
            </w:tcBorders>
            <w:shd w:val="clear" w:color="auto" w:fill="8ACC8E"/>
          </w:tcPr>
          <w:p w14:paraId="02BFC70C" w14:textId="77777777" w:rsidR="00086021" w:rsidRDefault="00086021"/>
        </w:tc>
        <w:tc>
          <w:tcPr>
            <w:tcW w:w="2129" w:type="dxa"/>
            <w:tcBorders>
              <w:top w:val="single" w:sz="4" w:space="0" w:color="000000"/>
              <w:left w:val="single" w:sz="4" w:space="0" w:color="000000"/>
              <w:bottom w:val="single" w:sz="4" w:space="0" w:color="000000"/>
              <w:right w:val="single" w:sz="4" w:space="0" w:color="000000"/>
            </w:tcBorders>
            <w:shd w:val="clear" w:color="auto" w:fill="8ACC8E"/>
          </w:tcPr>
          <w:p w14:paraId="1243C2BF" w14:textId="77777777" w:rsidR="00086021" w:rsidRDefault="009E19AB">
            <w:pPr>
              <w:pStyle w:val="TableContents"/>
            </w:pPr>
            <w:r>
              <w:t>Development Factor</w:t>
            </w:r>
          </w:p>
        </w:tc>
        <w:tc>
          <w:tcPr>
            <w:tcW w:w="1277" w:type="dxa"/>
            <w:tcBorders>
              <w:top w:val="single" w:sz="4" w:space="0" w:color="000000"/>
              <w:left w:val="single" w:sz="4" w:space="0" w:color="000000"/>
              <w:bottom w:val="single" w:sz="4" w:space="0" w:color="000000"/>
              <w:right w:val="single" w:sz="4" w:space="0" w:color="000000"/>
            </w:tcBorders>
            <w:shd w:val="clear" w:color="auto" w:fill="8ACC8E"/>
          </w:tcPr>
          <w:p w14:paraId="4C92D362" w14:textId="77777777" w:rsidR="00086021" w:rsidRDefault="009E19AB">
            <w:pPr>
              <w:pStyle w:val="TableContents"/>
            </w:pPr>
            <w:r>
              <w:t>0%</w:t>
            </w:r>
          </w:p>
        </w:tc>
        <w:tc>
          <w:tcPr>
            <w:tcW w:w="1354" w:type="dxa"/>
            <w:tcBorders>
              <w:top w:val="single" w:sz="4" w:space="0" w:color="000000"/>
              <w:left w:val="single" w:sz="4" w:space="0" w:color="000000"/>
              <w:bottom w:val="single" w:sz="4" w:space="0" w:color="000000"/>
              <w:right w:val="single" w:sz="4" w:space="0" w:color="000000"/>
            </w:tcBorders>
            <w:shd w:val="clear" w:color="auto" w:fill="8ACC8E"/>
          </w:tcPr>
          <w:p w14:paraId="37C437B6" w14:textId="77777777" w:rsidR="00086021" w:rsidRDefault="009E19AB">
            <w:pPr>
              <w:pStyle w:val="TableContents"/>
            </w:pPr>
            <w:r>
              <w:t>1%</w:t>
            </w:r>
          </w:p>
        </w:tc>
        <w:tc>
          <w:tcPr>
            <w:tcW w:w="1301" w:type="dxa"/>
            <w:tcBorders>
              <w:top w:val="single" w:sz="4" w:space="0" w:color="000000"/>
              <w:left w:val="single" w:sz="4" w:space="0" w:color="000000"/>
              <w:bottom w:val="single" w:sz="4" w:space="0" w:color="000000"/>
              <w:right w:val="single" w:sz="4" w:space="0" w:color="000000"/>
            </w:tcBorders>
            <w:shd w:val="clear" w:color="auto" w:fill="8ACC8E"/>
          </w:tcPr>
          <w:p w14:paraId="7D9A042D" w14:textId="77777777" w:rsidR="00086021" w:rsidRDefault="009E19AB">
            <w:pPr>
              <w:pStyle w:val="TableContents"/>
            </w:pPr>
            <w:r>
              <w:t>0%</w:t>
            </w:r>
          </w:p>
        </w:tc>
      </w:tr>
      <w:tr w:rsidR="00086021" w14:paraId="764CC85E" w14:textId="77777777">
        <w:trPr>
          <w:trHeight w:val="280"/>
        </w:trPr>
        <w:tc>
          <w:tcPr>
            <w:tcW w:w="959" w:type="dxa"/>
            <w:tcBorders>
              <w:top w:val="single" w:sz="4" w:space="0" w:color="000000"/>
              <w:left w:val="single" w:sz="4" w:space="0" w:color="000000"/>
              <w:bottom w:val="single" w:sz="4" w:space="0" w:color="000000"/>
              <w:right w:val="single" w:sz="4" w:space="0" w:color="000000"/>
            </w:tcBorders>
          </w:tcPr>
          <w:p w14:paraId="2BE7D9A0" w14:textId="77777777" w:rsidR="00086021" w:rsidRDefault="009E19AB">
            <w:pPr>
              <w:pStyle w:val="TableContents"/>
            </w:pPr>
            <w:r>
              <w:t>3</w:t>
            </w:r>
          </w:p>
        </w:tc>
        <w:tc>
          <w:tcPr>
            <w:tcW w:w="2860" w:type="dxa"/>
            <w:tcBorders>
              <w:top w:val="single" w:sz="4" w:space="0" w:color="000000"/>
              <w:left w:val="single" w:sz="4" w:space="0" w:color="000000"/>
              <w:bottom w:val="single" w:sz="4" w:space="0" w:color="000000"/>
              <w:right w:val="single" w:sz="4" w:space="0" w:color="000000"/>
            </w:tcBorders>
          </w:tcPr>
          <w:p w14:paraId="7894AC7C" w14:textId="77777777" w:rsidR="00086021" w:rsidRDefault="009E19AB">
            <w:pPr>
              <w:pStyle w:val="TableContents"/>
            </w:pPr>
            <w:r>
              <w:t>Incentivize fiscal effort</w:t>
            </w:r>
          </w:p>
        </w:tc>
        <w:tc>
          <w:tcPr>
            <w:tcW w:w="2129" w:type="dxa"/>
            <w:tcBorders>
              <w:top w:val="single" w:sz="4" w:space="0" w:color="000000"/>
              <w:left w:val="single" w:sz="4" w:space="0" w:color="000000"/>
              <w:bottom w:val="single" w:sz="4" w:space="0" w:color="000000"/>
              <w:right w:val="single" w:sz="4" w:space="0" w:color="000000"/>
            </w:tcBorders>
          </w:tcPr>
          <w:p w14:paraId="7AA9F752" w14:textId="77777777" w:rsidR="00086021" w:rsidRDefault="009E19AB">
            <w:pPr>
              <w:pStyle w:val="TableContents"/>
            </w:pPr>
            <w:r>
              <w:t>Fiscal Effort</w:t>
            </w:r>
          </w:p>
        </w:tc>
        <w:tc>
          <w:tcPr>
            <w:tcW w:w="1277" w:type="dxa"/>
            <w:tcBorders>
              <w:top w:val="single" w:sz="4" w:space="0" w:color="000000"/>
              <w:left w:val="single" w:sz="4" w:space="0" w:color="000000"/>
              <w:bottom w:val="single" w:sz="4" w:space="0" w:color="000000"/>
              <w:right w:val="single" w:sz="4" w:space="0" w:color="000000"/>
            </w:tcBorders>
          </w:tcPr>
          <w:p w14:paraId="658202BE" w14:textId="77777777" w:rsidR="00086021" w:rsidRDefault="009E19AB">
            <w:pPr>
              <w:pStyle w:val="TableContents"/>
            </w:pPr>
            <w:r>
              <w:t>2%</w:t>
            </w:r>
          </w:p>
        </w:tc>
        <w:tc>
          <w:tcPr>
            <w:tcW w:w="1354" w:type="dxa"/>
            <w:tcBorders>
              <w:top w:val="single" w:sz="4" w:space="0" w:color="000000"/>
              <w:left w:val="single" w:sz="4" w:space="0" w:color="000000"/>
              <w:bottom w:val="single" w:sz="4" w:space="0" w:color="000000"/>
              <w:right w:val="single" w:sz="4" w:space="0" w:color="000000"/>
            </w:tcBorders>
          </w:tcPr>
          <w:p w14:paraId="47B019E6" w14:textId="77777777" w:rsidR="00086021" w:rsidRDefault="009E19AB">
            <w:pPr>
              <w:pStyle w:val="TableContents"/>
            </w:pPr>
            <w:r>
              <w:t>2%</w:t>
            </w:r>
          </w:p>
        </w:tc>
        <w:tc>
          <w:tcPr>
            <w:tcW w:w="1301" w:type="dxa"/>
            <w:tcBorders>
              <w:top w:val="single" w:sz="4" w:space="0" w:color="000000"/>
              <w:left w:val="single" w:sz="4" w:space="0" w:color="000000"/>
              <w:bottom w:val="single" w:sz="4" w:space="0" w:color="000000"/>
              <w:right w:val="single" w:sz="4" w:space="0" w:color="000000"/>
            </w:tcBorders>
          </w:tcPr>
          <w:p w14:paraId="49DE7574" w14:textId="77777777" w:rsidR="00086021" w:rsidRDefault="009E19AB">
            <w:pPr>
              <w:pStyle w:val="TableContents"/>
            </w:pPr>
            <w:r>
              <w:t>0%</w:t>
            </w:r>
          </w:p>
        </w:tc>
      </w:tr>
      <w:tr w:rsidR="00086021" w14:paraId="15C92C7E" w14:textId="77777777">
        <w:trPr>
          <w:trHeight w:val="280"/>
        </w:trPr>
        <w:tc>
          <w:tcPr>
            <w:tcW w:w="959" w:type="dxa"/>
            <w:tcBorders>
              <w:top w:val="single" w:sz="4" w:space="0" w:color="000000"/>
              <w:left w:val="single" w:sz="4" w:space="0" w:color="000000"/>
              <w:bottom w:val="single" w:sz="4" w:space="0" w:color="000000"/>
              <w:right w:val="single" w:sz="4" w:space="0" w:color="000000"/>
            </w:tcBorders>
            <w:shd w:val="clear" w:color="auto" w:fill="8ACC8E"/>
          </w:tcPr>
          <w:p w14:paraId="7AAFA732" w14:textId="77777777" w:rsidR="00086021" w:rsidRDefault="009E19AB">
            <w:pPr>
              <w:pStyle w:val="TableContents"/>
            </w:pPr>
            <w:r>
              <w:t>4</w:t>
            </w:r>
          </w:p>
        </w:tc>
        <w:tc>
          <w:tcPr>
            <w:tcW w:w="2860" w:type="dxa"/>
            <w:tcBorders>
              <w:top w:val="single" w:sz="4" w:space="0" w:color="000000"/>
              <w:left w:val="single" w:sz="4" w:space="0" w:color="000000"/>
              <w:bottom w:val="single" w:sz="4" w:space="0" w:color="000000"/>
              <w:right w:val="single" w:sz="4" w:space="0" w:color="000000"/>
            </w:tcBorders>
            <w:shd w:val="clear" w:color="auto" w:fill="8ACC8E"/>
          </w:tcPr>
          <w:p w14:paraId="3FAE1C7B" w14:textId="77777777" w:rsidR="00086021" w:rsidRDefault="009E19AB">
            <w:pPr>
              <w:pStyle w:val="TableContents"/>
            </w:pPr>
            <w:r>
              <w:t>Incentivize fiscal prudence</w:t>
            </w:r>
          </w:p>
        </w:tc>
        <w:tc>
          <w:tcPr>
            <w:tcW w:w="2129" w:type="dxa"/>
            <w:tcBorders>
              <w:top w:val="single" w:sz="4" w:space="0" w:color="000000"/>
              <w:left w:val="single" w:sz="4" w:space="0" w:color="000000"/>
              <w:bottom w:val="single" w:sz="4" w:space="0" w:color="000000"/>
              <w:right w:val="single" w:sz="4" w:space="0" w:color="000000"/>
            </w:tcBorders>
            <w:shd w:val="clear" w:color="auto" w:fill="8ACC8E"/>
          </w:tcPr>
          <w:p w14:paraId="15876324" w14:textId="77777777" w:rsidR="00086021" w:rsidRDefault="009E19AB">
            <w:pPr>
              <w:pStyle w:val="TableContents"/>
            </w:pPr>
            <w:r>
              <w:t>Fiscal Prudence</w:t>
            </w:r>
          </w:p>
        </w:tc>
        <w:tc>
          <w:tcPr>
            <w:tcW w:w="1277" w:type="dxa"/>
            <w:tcBorders>
              <w:top w:val="single" w:sz="4" w:space="0" w:color="000000"/>
              <w:left w:val="single" w:sz="4" w:space="0" w:color="000000"/>
              <w:bottom w:val="single" w:sz="4" w:space="0" w:color="000000"/>
              <w:right w:val="single" w:sz="4" w:space="0" w:color="000000"/>
            </w:tcBorders>
            <w:shd w:val="clear" w:color="auto" w:fill="8ACC8E"/>
          </w:tcPr>
          <w:p w14:paraId="05F3285C" w14:textId="77777777" w:rsidR="00086021" w:rsidRDefault="009E19AB">
            <w:pPr>
              <w:pStyle w:val="TableContents"/>
            </w:pPr>
            <w:r>
              <w:t>0%</w:t>
            </w:r>
          </w:p>
        </w:tc>
        <w:tc>
          <w:tcPr>
            <w:tcW w:w="1354" w:type="dxa"/>
            <w:tcBorders>
              <w:top w:val="single" w:sz="4" w:space="0" w:color="000000"/>
              <w:left w:val="single" w:sz="4" w:space="0" w:color="000000"/>
              <w:bottom w:val="single" w:sz="4" w:space="0" w:color="000000"/>
              <w:right w:val="single" w:sz="4" w:space="0" w:color="000000"/>
            </w:tcBorders>
            <w:shd w:val="clear" w:color="auto" w:fill="8ACC8E"/>
          </w:tcPr>
          <w:p w14:paraId="5C600173" w14:textId="77777777" w:rsidR="00086021" w:rsidRDefault="009E19AB">
            <w:pPr>
              <w:pStyle w:val="TableContents"/>
            </w:pPr>
            <w:r>
              <w:t>0%</w:t>
            </w:r>
          </w:p>
        </w:tc>
        <w:tc>
          <w:tcPr>
            <w:tcW w:w="1301" w:type="dxa"/>
            <w:tcBorders>
              <w:top w:val="single" w:sz="4" w:space="0" w:color="000000"/>
              <w:left w:val="single" w:sz="4" w:space="0" w:color="000000"/>
              <w:bottom w:val="single" w:sz="4" w:space="0" w:color="000000"/>
              <w:right w:val="single" w:sz="4" w:space="0" w:color="000000"/>
            </w:tcBorders>
            <w:shd w:val="clear" w:color="auto" w:fill="8ACC8E"/>
          </w:tcPr>
          <w:p w14:paraId="6A24832C" w14:textId="77777777" w:rsidR="00086021" w:rsidRDefault="009E19AB">
            <w:pPr>
              <w:pStyle w:val="TableContents"/>
            </w:pPr>
            <w:r>
              <w:t>0%</w:t>
            </w:r>
          </w:p>
        </w:tc>
      </w:tr>
      <w:tr w:rsidR="00086021" w14:paraId="37D49E86" w14:textId="77777777">
        <w:trPr>
          <w:trHeight w:val="280"/>
        </w:trPr>
        <w:tc>
          <w:tcPr>
            <w:tcW w:w="959" w:type="dxa"/>
            <w:tcBorders>
              <w:top w:val="single" w:sz="4" w:space="0" w:color="000000"/>
              <w:left w:val="single" w:sz="4" w:space="0" w:color="000000"/>
              <w:bottom w:val="single" w:sz="4" w:space="0" w:color="000000"/>
              <w:right w:val="single" w:sz="4" w:space="0" w:color="000000"/>
            </w:tcBorders>
          </w:tcPr>
          <w:p w14:paraId="61BC9AC3" w14:textId="77777777" w:rsidR="00086021" w:rsidRDefault="009E19AB">
            <w:pPr>
              <w:pStyle w:val="TableContents"/>
            </w:pPr>
            <w:r>
              <w:t>Total</w:t>
            </w:r>
          </w:p>
        </w:tc>
        <w:tc>
          <w:tcPr>
            <w:tcW w:w="4989" w:type="dxa"/>
            <w:gridSpan w:val="2"/>
            <w:tcBorders>
              <w:top w:val="single" w:sz="4" w:space="0" w:color="000000"/>
              <w:left w:val="single" w:sz="4" w:space="0" w:color="000000"/>
              <w:bottom w:val="single" w:sz="4" w:space="0" w:color="000000"/>
              <w:right w:val="single" w:sz="4" w:space="0" w:color="000000"/>
            </w:tcBorders>
          </w:tcPr>
          <w:p w14:paraId="1B8A2580" w14:textId="77777777" w:rsidR="00086021" w:rsidRDefault="009E19AB">
            <w:pPr>
              <w:pStyle w:val="TableContents"/>
            </w:pPr>
            <w: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1DCD603E" w14:textId="77777777" w:rsidR="00086021" w:rsidRDefault="009E19AB">
            <w:pPr>
              <w:pStyle w:val="TableContents"/>
            </w:pPr>
            <w:r>
              <w:t>100%</w:t>
            </w:r>
          </w:p>
        </w:tc>
        <w:tc>
          <w:tcPr>
            <w:tcW w:w="1354" w:type="dxa"/>
            <w:tcBorders>
              <w:top w:val="single" w:sz="4" w:space="0" w:color="000000"/>
              <w:left w:val="single" w:sz="4" w:space="0" w:color="000000"/>
              <w:bottom w:val="single" w:sz="4" w:space="0" w:color="000000"/>
              <w:right w:val="single" w:sz="4" w:space="0" w:color="000000"/>
            </w:tcBorders>
          </w:tcPr>
          <w:p w14:paraId="6AF1DB99" w14:textId="77777777" w:rsidR="00086021" w:rsidRDefault="009E19AB">
            <w:pPr>
              <w:pStyle w:val="TableContents"/>
            </w:pPr>
            <w:r>
              <w:t>100%</w:t>
            </w:r>
          </w:p>
        </w:tc>
        <w:tc>
          <w:tcPr>
            <w:tcW w:w="1301" w:type="dxa"/>
            <w:tcBorders>
              <w:top w:val="single" w:sz="4" w:space="0" w:color="000000"/>
              <w:left w:val="single" w:sz="4" w:space="0" w:color="000000"/>
              <w:bottom w:val="single" w:sz="4" w:space="0" w:color="000000"/>
              <w:right w:val="single" w:sz="4" w:space="0" w:color="000000"/>
            </w:tcBorders>
          </w:tcPr>
          <w:p w14:paraId="5B827BCF" w14:textId="77777777" w:rsidR="00086021" w:rsidRDefault="009E19AB">
            <w:pPr>
              <w:pStyle w:val="TableContents"/>
            </w:pPr>
            <w:r>
              <w:t>100%</w:t>
            </w:r>
          </w:p>
        </w:tc>
      </w:tr>
    </w:tbl>
    <w:p w14:paraId="72D24ADA" w14:textId="77777777" w:rsidR="00086021" w:rsidRDefault="00086021"/>
    <w:p w14:paraId="088E74AD" w14:textId="77777777" w:rsidR="00086021" w:rsidRDefault="00086021"/>
    <w:p w14:paraId="5C1EBE7A" w14:textId="77777777" w:rsidR="00086021" w:rsidRDefault="00086021"/>
    <w:p w14:paraId="227E3FEA" w14:textId="77777777" w:rsidR="00086021" w:rsidRDefault="00086021"/>
    <w:p w14:paraId="6066B592" w14:textId="77777777" w:rsidR="00086021" w:rsidRDefault="00086021"/>
    <w:p w14:paraId="5F507967" w14:textId="77777777" w:rsidR="00086021" w:rsidRDefault="00086021"/>
    <w:p w14:paraId="2D4E5CAE" w14:textId="77777777" w:rsidR="00086021" w:rsidRDefault="00086021"/>
    <w:p w14:paraId="32464725" w14:textId="77777777" w:rsidR="00086021" w:rsidRDefault="00086021"/>
    <w:p w14:paraId="4D24184E" w14:textId="77777777" w:rsidR="00086021" w:rsidRDefault="00086021"/>
    <w:p w14:paraId="7CC53535" w14:textId="77777777" w:rsidR="00086021" w:rsidRDefault="00086021"/>
    <w:p w14:paraId="34974065" w14:textId="77777777" w:rsidR="00086021" w:rsidRDefault="00086021"/>
    <w:p w14:paraId="298E2C33" w14:textId="77777777" w:rsidR="00086021" w:rsidRDefault="00086021"/>
    <w:p w14:paraId="4E425B45" w14:textId="77777777" w:rsidR="00086021" w:rsidRDefault="00086021"/>
    <w:p w14:paraId="62B44F7D" w14:textId="77777777" w:rsidR="00086021" w:rsidRDefault="00086021"/>
    <w:p w14:paraId="3A5A5E0E" w14:textId="77777777" w:rsidR="00086021" w:rsidRDefault="00086021"/>
    <w:p w14:paraId="37D70B4A" w14:textId="77777777" w:rsidR="00086021" w:rsidRDefault="00086021"/>
    <w:p w14:paraId="4FD8E54E" w14:textId="77777777" w:rsidR="00086021" w:rsidRDefault="00086021"/>
    <w:p w14:paraId="4EE1CFDB" w14:textId="77777777" w:rsidR="00086021" w:rsidRDefault="00086021"/>
    <w:p w14:paraId="47EFDB53" w14:textId="77777777" w:rsidR="00086021" w:rsidRDefault="00086021"/>
    <w:p w14:paraId="57BDE607" w14:textId="77777777" w:rsidR="00086021" w:rsidRDefault="00086021"/>
    <w:p w14:paraId="2B2E8372" w14:textId="77777777" w:rsidR="00086021" w:rsidRDefault="00086021"/>
    <w:p w14:paraId="32756B48" w14:textId="77777777" w:rsidR="00086021" w:rsidRDefault="00086021"/>
    <w:p w14:paraId="5DA16BD7" w14:textId="77777777" w:rsidR="00086021" w:rsidRDefault="00086021"/>
    <w:p w14:paraId="14B30A46" w14:textId="77777777" w:rsidR="00086021" w:rsidRDefault="00086021"/>
    <w:p w14:paraId="339DD9E0" w14:textId="77777777" w:rsidR="00086021" w:rsidRDefault="00086021"/>
    <w:p w14:paraId="49BC33ED" w14:textId="77777777" w:rsidR="00086021" w:rsidRDefault="00086021"/>
    <w:p w14:paraId="5420E4DC" w14:textId="77777777" w:rsidR="00086021" w:rsidRDefault="00086021"/>
    <w:p w14:paraId="0CF8BCFE" w14:textId="77777777" w:rsidR="00086021" w:rsidRDefault="00086021"/>
    <w:p w14:paraId="3D77136C" w14:textId="77777777" w:rsidR="00086021" w:rsidRDefault="00086021"/>
    <w:p w14:paraId="1C30E416" w14:textId="77777777" w:rsidR="00086021" w:rsidRDefault="00086021"/>
    <w:p w14:paraId="1AAAEF45" w14:textId="77777777" w:rsidR="00086021" w:rsidRDefault="00086021"/>
    <w:p w14:paraId="2AA9E44A" w14:textId="77777777" w:rsidR="00086021" w:rsidRDefault="00086021"/>
    <w:p w14:paraId="52A7A387" w14:textId="77777777" w:rsidR="00086021" w:rsidRDefault="00086021"/>
    <w:p w14:paraId="0439582D" w14:textId="77777777" w:rsidR="00086021" w:rsidRDefault="00086021"/>
    <w:p w14:paraId="26F85991" w14:textId="77777777" w:rsidR="00086021" w:rsidRDefault="00086021"/>
    <w:p w14:paraId="2090D164" w14:textId="77777777" w:rsidR="00086021" w:rsidRDefault="00086021"/>
    <w:p w14:paraId="6EBDA844" w14:textId="77777777" w:rsidR="00086021" w:rsidRDefault="00086021"/>
    <w:p w14:paraId="7CED28B8" w14:textId="77777777" w:rsidR="00086021" w:rsidRDefault="00086021"/>
    <w:p w14:paraId="314009F7" w14:textId="77777777" w:rsidR="00086021" w:rsidRDefault="00086021"/>
    <w:p w14:paraId="00CB0A99" w14:textId="77777777" w:rsidR="00086021" w:rsidRDefault="00086021"/>
    <w:p w14:paraId="08623619" w14:textId="77777777" w:rsidR="00086021" w:rsidRDefault="009E19AB">
      <w:r>
        <w:br w:type="page"/>
      </w:r>
    </w:p>
    <w:p w14:paraId="3AC21E7F" w14:textId="77777777" w:rsidR="00086021" w:rsidRDefault="009E19AB">
      <w:pPr>
        <w:pStyle w:val="Heading3"/>
      </w:pPr>
      <w:r>
        <w:lastRenderedPageBreak/>
        <w:t>Annex 5: MTEF Aligned Budget</w:t>
      </w:r>
    </w:p>
    <w:p w14:paraId="4418C311" w14:textId="77777777" w:rsidR="00086021" w:rsidRDefault="009E19AB">
      <w:r>
        <w:rPr>
          <w:noProof/>
        </w:rPr>
        <w:drawing>
          <wp:inline distT="0" distB="0" distL="0" distR="0" wp14:anchorId="631FFB52" wp14:editId="5CF973D2">
            <wp:extent cx="5731510" cy="7553325"/>
            <wp:effectExtent l="0" t="0" r="0" b="0"/>
            <wp:docPr id="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0"/>
                    <pic:cNvPicPr>
                      <a:picLocks noChangeAspect="1" noChangeArrowheads="1"/>
                    </pic:cNvPicPr>
                  </pic:nvPicPr>
                  <pic:blipFill>
                    <a:blip r:embed="rId68"/>
                    <a:srcRect l="36145" t="21223" r="34825" b="21392"/>
                    <a:stretch>
                      <a:fillRect/>
                    </a:stretch>
                  </pic:blipFill>
                  <pic:spPr bwMode="auto">
                    <a:xfrm>
                      <a:off x="0" y="0"/>
                      <a:ext cx="5731510" cy="7553325"/>
                    </a:xfrm>
                    <a:prstGeom prst="rect">
                      <a:avLst/>
                    </a:prstGeom>
                  </pic:spPr>
                </pic:pic>
              </a:graphicData>
            </a:graphic>
          </wp:inline>
        </w:drawing>
      </w:r>
    </w:p>
    <w:p w14:paraId="05004BEE" w14:textId="77777777" w:rsidR="00086021" w:rsidRDefault="00086021"/>
    <w:p w14:paraId="776D9A63" w14:textId="77777777" w:rsidR="00086021" w:rsidRDefault="00086021"/>
    <w:p w14:paraId="42C8B942" w14:textId="77777777" w:rsidR="00086021" w:rsidRDefault="00086021"/>
    <w:p w14:paraId="2977E508" w14:textId="77777777" w:rsidR="00086021" w:rsidRDefault="00086021"/>
    <w:p w14:paraId="779A2564" w14:textId="77777777" w:rsidR="00086021" w:rsidRDefault="00086021"/>
    <w:p w14:paraId="6F996416" w14:textId="77777777" w:rsidR="00086021" w:rsidRDefault="00086021"/>
    <w:p w14:paraId="6AA19C72" w14:textId="77777777" w:rsidR="00086021" w:rsidRDefault="00086021"/>
    <w:p w14:paraId="54FBB660" w14:textId="77777777" w:rsidR="00086021" w:rsidRDefault="00086021">
      <w:pPr>
        <w:sectPr w:rsidR="00086021">
          <w:headerReference w:type="default" r:id="rId69"/>
          <w:footerReference w:type="default" r:id="rId70"/>
          <w:pgSz w:w="11906" w:h="16838"/>
          <w:pgMar w:top="1440" w:right="1440" w:bottom="1198" w:left="1440" w:header="0" w:footer="708" w:gutter="0"/>
          <w:cols w:space="720"/>
          <w:formProt w:val="0"/>
          <w:docGrid w:linePitch="286" w:charSpace="12288"/>
        </w:sectPr>
      </w:pPr>
    </w:p>
    <w:p w14:paraId="57906F78" w14:textId="77777777" w:rsidR="00086021" w:rsidRDefault="009E19AB">
      <w:pPr>
        <w:pStyle w:val="Heading3"/>
      </w:pPr>
      <w:r>
        <w:lastRenderedPageBreak/>
        <w:t>Annex 6: Budget Cycle</w:t>
      </w:r>
    </w:p>
    <w:p w14:paraId="5B112C54" w14:textId="77777777" w:rsidR="00086021" w:rsidRDefault="009E19AB">
      <w:r>
        <w:rPr>
          <w:noProof/>
        </w:rPr>
        <w:drawing>
          <wp:inline distT="0" distB="0" distL="0" distR="0" wp14:anchorId="68DD22DE" wp14:editId="068F87DA">
            <wp:extent cx="7911465" cy="4681220"/>
            <wp:effectExtent l="0" t="0" r="0" b="0"/>
            <wp:docPr id="5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100"/>
                    <pic:cNvPicPr>
                      <a:picLocks noChangeAspect="1" noChangeArrowheads="1"/>
                    </pic:cNvPicPr>
                  </pic:nvPicPr>
                  <pic:blipFill>
                    <a:blip r:embed="rId71"/>
                    <a:stretch>
                      <a:fillRect/>
                    </a:stretch>
                  </pic:blipFill>
                  <pic:spPr bwMode="auto">
                    <a:xfrm>
                      <a:off x="0" y="0"/>
                      <a:ext cx="7911465" cy="4681220"/>
                    </a:xfrm>
                    <a:prstGeom prst="rect">
                      <a:avLst/>
                    </a:prstGeom>
                  </pic:spPr>
                </pic:pic>
              </a:graphicData>
            </a:graphic>
          </wp:inline>
        </w:drawing>
      </w:r>
    </w:p>
    <w:p w14:paraId="3CDE7546" w14:textId="77777777" w:rsidR="00086021" w:rsidRDefault="00086021"/>
    <w:p w14:paraId="3D45C157" w14:textId="77777777" w:rsidR="00086021" w:rsidRDefault="009E19AB">
      <w:pPr>
        <w:pStyle w:val="BodyText"/>
        <w:rPr>
          <w:i/>
          <w:iCs/>
          <w:sz w:val="16"/>
          <w:szCs w:val="16"/>
        </w:rPr>
      </w:pPr>
      <w:r>
        <w:rPr>
          <w:i/>
          <w:iCs/>
          <w:sz w:val="16"/>
          <w:szCs w:val="16"/>
        </w:rPr>
        <w:t>Source: Adapted from Public Expenditure Review, GOK &amp; UNICEF, 2017</w:t>
      </w:r>
    </w:p>
    <w:p w14:paraId="38170850" w14:textId="77777777" w:rsidR="00086021" w:rsidRDefault="00086021">
      <w:pPr>
        <w:pStyle w:val="BodyText"/>
        <w:rPr>
          <w:i/>
          <w:iCs/>
          <w:sz w:val="16"/>
          <w:szCs w:val="16"/>
        </w:rPr>
        <w:sectPr w:rsidR="00086021">
          <w:headerReference w:type="default" r:id="rId72"/>
          <w:footerReference w:type="default" r:id="rId73"/>
          <w:pgSz w:w="16838" w:h="11906" w:orient="landscape"/>
          <w:pgMar w:top="1440" w:right="1440" w:bottom="1198" w:left="1440" w:header="0" w:footer="708" w:gutter="0"/>
          <w:cols w:space="720"/>
          <w:formProt w:val="0"/>
          <w:docGrid w:linePitch="286" w:charSpace="12288"/>
        </w:sectPr>
      </w:pPr>
    </w:p>
    <w:p w14:paraId="66A6B981" w14:textId="77777777" w:rsidR="00086021" w:rsidRDefault="009E19AB">
      <w:pPr>
        <w:pStyle w:val="Heading3"/>
      </w:pPr>
      <w:r>
        <w:lastRenderedPageBreak/>
        <w:t>Annex 7: Summary and Timelines of Budget Process in Kenya (National Government)</w:t>
      </w:r>
    </w:p>
    <w:p w14:paraId="25277EE7" w14:textId="77777777" w:rsidR="00086021" w:rsidRDefault="00086021"/>
    <w:tbl>
      <w:tblPr>
        <w:tblStyle w:val="GridTable4-Accent6"/>
        <w:tblW w:w="914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39"/>
        <w:gridCol w:w="2618"/>
        <w:gridCol w:w="2083"/>
        <w:gridCol w:w="1402"/>
      </w:tblGrid>
      <w:tr w:rsidR="00AB07D3" w:rsidRPr="00AB07D3" w14:paraId="295D2B9F" w14:textId="77777777" w:rsidTr="00AB07D3">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039" w:type="dxa"/>
            <w:tcBorders>
              <w:top w:val="none" w:sz="0" w:space="0" w:color="auto"/>
              <w:left w:val="none" w:sz="0" w:space="0" w:color="auto"/>
              <w:bottom w:val="none" w:sz="0" w:space="0" w:color="auto"/>
              <w:right w:val="none" w:sz="0" w:space="0" w:color="auto"/>
            </w:tcBorders>
            <w:shd w:val="clear" w:color="auto" w:fill="8ACC8E"/>
            <w:noWrap/>
            <w:hideMark/>
          </w:tcPr>
          <w:p w14:paraId="792BED04" w14:textId="77777777" w:rsidR="002B20CA" w:rsidRPr="00AB07D3" w:rsidRDefault="002B20CA" w:rsidP="00373E9F">
            <w:pPr>
              <w:rPr>
                <w:rFonts w:ascii="Franklin Gothic Demi" w:eastAsia="Times New Roman" w:hAnsi="Franklin Gothic Demi" w:cs="Calibri"/>
                <w:b w:val="0"/>
                <w:bCs w:val="0"/>
                <w:color w:val="auto"/>
                <w:szCs w:val="18"/>
                <w:lang w:val="en-KE" w:eastAsia="en-KE"/>
              </w:rPr>
            </w:pPr>
            <w:r w:rsidRPr="00AB07D3">
              <w:rPr>
                <w:rFonts w:ascii="Franklin Gothic Demi" w:eastAsia="Times New Roman" w:hAnsi="Franklin Gothic Demi" w:cs="Calibri"/>
                <w:b w:val="0"/>
                <w:bCs w:val="0"/>
                <w:color w:val="auto"/>
                <w:szCs w:val="18"/>
                <w:lang w:val="en-KE" w:eastAsia="en-KE"/>
              </w:rPr>
              <w:t>Step</w:t>
            </w:r>
          </w:p>
        </w:tc>
        <w:tc>
          <w:tcPr>
            <w:tcW w:w="2618" w:type="dxa"/>
            <w:tcBorders>
              <w:top w:val="none" w:sz="0" w:space="0" w:color="auto"/>
              <w:left w:val="none" w:sz="0" w:space="0" w:color="auto"/>
              <w:bottom w:val="none" w:sz="0" w:space="0" w:color="auto"/>
              <w:right w:val="none" w:sz="0" w:space="0" w:color="auto"/>
            </w:tcBorders>
            <w:shd w:val="clear" w:color="auto" w:fill="8ACC8E"/>
            <w:noWrap/>
            <w:hideMark/>
          </w:tcPr>
          <w:p w14:paraId="25309E47" w14:textId="77777777" w:rsidR="002B20CA" w:rsidRPr="00AB07D3" w:rsidRDefault="002B20CA" w:rsidP="00373E9F">
            <w:pPr>
              <w:cnfStyle w:val="100000000000" w:firstRow="1" w:lastRow="0" w:firstColumn="0" w:lastColumn="0" w:oddVBand="0" w:evenVBand="0" w:oddHBand="0" w:evenHBand="0" w:firstRowFirstColumn="0" w:firstRowLastColumn="0" w:lastRowFirstColumn="0" w:lastRowLastColumn="0"/>
              <w:rPr>
                <w:rFonts w:ascii="Franklin Gothic Demi" w:eastAsia="Times New Roman" w:hAnsi="Franklin Gothic Demi" w:cs="Calibri"/>
                <w:b w:val="0"/>
                <w:bCs w:val="0"/>
                <w:color w:val="auto"/>
                <w:szCs w:val="18"/>
                <w:lang w:val="en-KE" w:eastAsia="en-KE"/>
              </w:rPr>
            </w:pPr>
            <w:r w:rsidRPr="00AB07D3">
              <w:rPr>
                <w:rFonts w:ascii="Franklin Gothic Demi" w:eastAsia="Times New Roman" w:hAnsi="Franklin Gothic Demi" w:cs="Calibri"/>
                <w:b w:val="0"/>
                <w:bCs w:val="0"/>
                <w:color w:val="auto"/>
                <w:szCs w:val="18"/>
                <w:lang w:val="en-KE" w:eastAsia="en-KE"/>
              </w:rPr>
              <w:t>Who</w:t>
            </w:r>
          </w:p>
        </w:tc>
        <w:tc>
          <w:tcPr>
            <w:tcW w:w="2083" w:type="dxa"/>
            <w:tcBorders>
              <w:top w:val="none" w:sz="0" w:space="0" w:color="auto"/>
              <w:left w:val="none" w:sz="0" w:space="0" w:color="auto"/>
              <w:bottom w:val="none" w:sz="0" w:space="0" w:color="auto"/>
              <w:right w:val="none" w:sz="0" w:space="0" w:color="auto"/>
            </w:tcBorders>
            <w:shd w:val="clear" w:color="auto" w:fill="8ACC8E"/>
            <w:noWrap/>
            <w:hideMark/>
          </w:tcPr>
          <w:p w14:paraId="5534CBF4" w14:textId="77777777" w:rsidR="002B20CA" w:rsidRPr="00AB07D3" w:rsidRDefault="002B20CA" w:rsidP="00373E9F">
            <w:pPr>
              <w:cnfStyle w:val="100000000000" w:firstRow="1" w:lastRow="0" w:firstColumn="0" w:lastColumn="0" w:oddVBand="0" w:evenVBand="0" w:oddHBand="0" w:evenHBand="0" w:firstRowFirstColumn="0" w:firstRowLastColumn="0" w:lastRowFirstColumn="0" w:lastRowLastColumn="0"/>
              <w:rPr>
                <w:rFonts w:ascii="Franklin Gothic Demi" w:eastAsia="Times New Roman" w:hAnsi="Franklin Gothic Demi" w:cs="Calibri"/>
                <w:b w:val="0"/>
                <w:bCs w:val="0"/>
                <w:color w:val="auto"/>
                <w:szCs w:val="18"/>
                <w:lang w:val="en-KE" w:eastAsia="en-KE"/>
              </w:rPr>
            </w:pPr>
            <w:r w:rsidRPr="00AB07D3">
              <w:rPr>
                <w:rFonts w:ascii="Franklin Gothic Demi" w:eastAsia="Times New Roman" w:hAnsi="Franklin Gothic Demi" w:cs="Calibri"/>
                <w:b w:val="0"/>
                <w:bCs w:val="0"/>
                <w:color w:val="auto"/>
                <w:szCs w:val="18"/>
                <w:lang w:val="en-KE" w:eastAsia="en-KE"/>
              </w:rPr>
              <w:t>When</w:t>
            </w:r>
          </w:p>
        </w:tc>
        <w:tc>
          <w:tcPr>
            <w:tcW w:w="1402" w:type="dxa"/>
            <w:tcBorders>
              <w:top w:val="none" w:sz="0" w:space="0" w:color="auto"/>
              <w:left w:val="none" w:sz="0" w:space="0" w:color="auto"/>
              <w:bottom w:val="none" w:sz="0" w:space="0" w:color="auto"/>
              <w:right w:val="none" w:sz="0" w:space="0" w:color="auto"/>
            </w:tcBorders>
            <w:shd w:val="clear" w:color="auto" w:fill="8ACC8E"/>
            <w:noWrap/>
            <w:hideMark/>
          </w:tcPr>
          <w:p w14:paraId="65813863" w14:textId="77777777" w:rsidR="002B20CA" w:rsidRPr="00AB07D3" w:rsidRDefault="002B20CA" w:rsidP="00373E9F">
            <w:pPr>
              <w:cnfStyle w:val="100000000000" w:firstRow="1" w:lastRow="0" w:firstColumn="0" w:lastColumn="0" w:oddVBand="0" w:evenVBand="0" w:oddHBand="0" w:evenHBand="0" w:firstRowFirstColumn="0" w:firstRowLastColumn="0" w:lastRowFirstColumn="0" w:lastRowLastColumn="0"/>
              <w:rPr>
                <w:rFonts w:ascii="Franklin Gothic Demi" w:eastAsia="Times New Roman" w:hAnsi="Franklin Gothic Demi" w:cs="Calibri"/>
                <w:b w:val="0"/>
                <w:bCs w:val="0"/>
                <w:color w:val="auto"/>
                <w:szCs w:val="18"/>
                <w:lang w:val="en-KE" w:eastAsia="en-KE"/>
              </w:rPr>
            </w:pPr>
            <w:r w:rsidRPr="00AB07D3">
              <w:rPr>
                <w:rFonts w:ascii="Franklin Gothic Demi" w:eastAsia="Times New Roman" w:hAnsi="Franklin Gothic Demi" w:cs="Calibri"/>
                <w:b w:val="0"/>
                <w:bCs w:val="0"/>
                <w:color w:val="auto"/>
                <w:szCs w:val="18"/>
                <w:lang w:val="en-KE" w:eastAsia="en-KE"/>
              </w:rPr>
              <w:t>Opportunity</w:t>
            </w:r>
          </w:p>
        </w:tc>
      </w:tr>
      <w:tr w:rsidR="00AB07D3" w:rsidRPr="00B14357" w14:paraId="3372CDE3" w14:textId="77777777" w:rsidTr="00AB07D3">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039" w:type="dxa"/>
            <w:noWrap/>
            <w:hideMark/>
          </w:tcPr>
          <w:p w14:paraId="765F3DB0" w14:textId="77777777" w:rsidR="002B20CA" w:rsidRPr="00A059C1" w:rsidRDefault="002B20CA" w:rsidP="00373E9F">
            <w:pPr>
              <w:rPr>
                <w:rFonts w:ascii="Franklin Gothic Demi" w:eastAsia="Times New Roman" w:hAnsi="Franklin Gothic Demi" w:cs="Calibri"/>
                <w:b w:val="0"/>
                <w:bCs w:val="0"/>
                <w:color w:val="000000"/>
                <w:szCs w:val="18"/>
                <w:lang w:val="en-KE" w:eastAsia="en-KE"/>
              </w:rPr>
            </w:pPr>
            <w:r w:rsidRPr="00A059C1">
              <w:rPr>
                <w:rFonts w:ascii="Franklin Gothic Demi" w:eastAsia="Times New Roman" w:hAnsi="Franklin Gothic Demi" w:cs="Calibri"/>
                <w:b w:val="0"/>
                <w:bCs w:val="0"/>
                <w:color w:val="000000"/>
                <w:szCs w:val="18"/>
                <w:lang w:val="en-KE" w:eastAsia="en-KE"/>
              </w:rPr>
              <w:t>Budget Policy Statement</w:t>
            </w:r>
          </w:p>
        </w:tc>
        <w:tc>
          <w:tcPr>
            <w:tcW w:w="2618" w:type="dxa"/>
            <w:noWrap/>
            <w:hideMark/>
          </w:tcPr>
          <w:p w14:paraId="3ECE7B5A" w14:textId="77777777" w:rsidR="002B20CA" w:rsidRPr="00A059C1" w:rsidRDefault="002B20CA" w:rsidP="00373E9F">
            <w:pPr>
              <w:cnfStyle w:val="000000100000" w:firstRow="0" w:lastRow="0" w:firstColumn="0" w:lastColumn="0" w:oddVBand="0" w:evenVBand="0" w:oddHBand="1" w:evenHBand="0" w:firstRowFirstColumn="0" w:firstRowLastColumn="0" w:lastRowFirstColumn="0" w:lastRowLastColumn="0"/>
              <w:rPr>
                <w:rFonts w:ascii="Franklin Gothic Demi" w:eastAsia="Times New Roman" w:hAnsi="Franklin Gothic Demi" w:cs="Calibri"/>
                <w:color w:val="000000"/>
                <w:szCs w:val="18"/>
                <w:lang w:val="en-KE" w:eastAsia="en-KE"/>
              </w:rPr>
            </w:pPr>
          </w:p>
        </w:tc>
        <w:tc>
          <w:tcPr>
            <w:tcW w:w="2083" w:type="dxa"/>
            <w:noWrap/>
            <w:hideMark/>
          </w:tcPr>
          <w:p w14:paraId="125F13A0" w14:textId="77777777" w:rsidR="002B20CA" w:rsidRPr="00A059C1" w:rsidRDefault="002B20CA" w:rsidP="00373E9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18"/>
                <w:lang w:val="en-KE" w:eastAsia="en-KE"/>
              </w:rPr>
            </w:pPr>
          </w:p>
        </w:tc>
        <w:tc>
          <w:tcPr>
            <w:tcW w:w="1402" w:type="dxa"/>
            <w:noWrap/>
            <w:hideMark/>
          </w:tcPr>
          <w:p w14:paraId="64809220" w14:textId="77777777" w:rsidR="002B20CA" w:rsidRPr="00A059C1" w:rsidRDefault="002B20CA" w:rsidP="00373E9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18"/>
                <w:lang w:val="en-KE" w:eastAsia="en-KE"/>
              </w:rPr>
            </w:pPr>
          </w:p>
        </w:tc>
      </w:tr>
      <w:tr w:rsidR="002B20CA" w:rsidRPr="00A059C1" w14:paraId="0373E631" w14:textId="77777777" w:rsidTr="00AB07D3">
        <w:trPr>
          <w:trHeight w:val="281"/>
        </w:trPr>
        <w:tc>
          <w:tcPr>
            <w:cnfStyle w:val="001000000000" w:firstRow="0" w:lastRow="0" w:firstColumn="1" w:lastColumn="0" w:oddVBand="0" w:evenVBand="0" w:oddHBand="0" w:evenHBand="0" w:firstRowFirstColumn="0" w:firstRowLastColumn="0" w:lastRowFirstColumn="0" w:lastRowLastColumn="0"/>
            <w:tcW w:w="3039" w:type="dxa"/>
            <w:noWrap/>
            <w:hideMark/>
          </w:tcPr>
          <w:p w14:paraId="56514565" w14:textId="77777777" w:rsidR="002B20CA" w:rsidRPr="00A059C1" w:rsidRDefault="002B20CA" w:rsidP="00373E9F">
            <w:pPr>
              <w:rPr>
                <w:rFonts w:ascii="Abadi Extra Light" w:eastAsia="Times New Roman" w:hAnsi="Abadi Extra Light" w:cs="Calibri"/>
                <w:b w:val="0"/>
                <w:bCs w:val="0"/>
                <w:color w:val="000000"/>
                <w:szCs w:val="18"/>
                <w:lang w:val="en-KE" w:eastAsia="en-KE"/>
              </w:rPr>
            </w:pPr>
            <w:r w:rsidRPr="00A059C1">
              <w:rPr>
                <w:rFonts w:ascii="Abadi Extra Light" w:eastAsia="Times New Roman" w:hAnsi="Abadi Extra Light" w:cs="Calibri"/>
                <w:b w:val="0"/>
                <w:bCs w:val="0"/>
                <w:color w:val="000000"/>
                <w:szCs w:val="18"/>
                <w:lang w:val="en-KE" w:eastAsia="en-KE"/>
              </w:rPr>
              <w:t>Preparation &amp; Submission to Parliament</w:t>
            </w:r>
          </w:p>
        </w:tc>
        <w:tc>
          <w:tcPr>
            <w:tcW w:w="2618" w:type="dxa"/>
            <w:noWrap/>
            <w:hideMark/>
          </w:tcPr>
          <w:p w14:paraId="06E01BEC" w14:textId="77777777" w:rsidR="002B20CA" w:rsidRPr="00A059C1" w:rsidRDefault="002B20CA" w:rsidP="00373E9F">
            <w:pPr>
              <w:cnfStyle w:val="000000000000" w:firstRow="0" w:lastRow="0" w:firstColumn="0" w:lastColumn="0" w:oddVBand="0" w:evenVBand="0" w:oddHBand="0" w:evenHBand="0" w:firstRowFirstColumn="0" w:firstRowLastColumn="0" w:lastRowFirstColumn="0" w:lastRowLastColumn="0"/>
              <w:rPr>
                <w:rFonts w:ascii="Abadi Extra Light" w:eastAsia="Times New Roman" w:hAnsi="Abadi Extra Light" w:cs="Calibri"/>
                <w:color w:val="000000"/>
                <w:szCs w:val="18"/>
                <w:lang w:val="en-KE" w:eastAsia="en-KE"/>
              </w:rPr>
            </w:pPr>
            <w:r w:rsidRPr="00A059C1">
              <w:rPr>
                <w:rFonts w:ascii="Abadi Extra Light" w:eastAsia="Times New Roman" w:hAnsi="Abadi Extra Light" w:cs="Calibri"/>
                <w:color w:val="000000"/>
                <w:szCs w:val="18"/>
                <w:lang w:val="en-KE" w:eastAsia="en-KE"/>
              </w:rPr>
              <w:t>CS Treasury &amp; Planning</w:t>
            </w:r>
          </w:p>
        </w:tc>
        <w:tc>
          <w:tcPr>
            <w:tcW w:w="2083" w:type="dxa"/>
            <w:noWrap/>
            <w:hideMark/>
          </w:tcPr>
          <w:p w14:paraId="5E9BD33F" w14:textId="77777777" w:rsidR="002B20CA" w:rsidRPr="00A059C1" w:rsidRDefault="002B20CA" w:rsidP="00373E9F">
            <w:pPr>
              <w:cnfStyle w:val="000000000000" w:firstRow="0" w:lastRow="0" w:firstColumn="0" w:lastColumn="0" w:oddVBand="0" w:evenVBand="0" w:oddHBand="0" w:evenHBand="0" w:firstRowFirstColumn="0" w:firstRowLastColumn="0" w:lastRowFirstColumn="0" w:lastRowLastColumn="0"/>
              <w:rPr>
                <w:rFonts w:ascii="Abadi Extra Light" w:eastAsia="Times New Roman" w:hAnsi="Abadi Extra Light" w:cs="Calibri"/>
                <w:color w:val="000000"/>
                <w:szCs w:val="18"/>
                <w:lang w:val="en-KE" w:eastAsia="en-KE"/>
              </w:rPr>
            </w:pPr>
            <w:r w:rsidRPr="00A059C1">
              <w:rPr>
                <w:rFonts w:ascii="Abadi Extra Light" w:eastAsia="Times New Roman" w:hAnsi="Abadi Extra Light" w:cs="Calibri"/>
                <w:color w:val="000000"/>
                <w:szCs w:val="18"/>
                <w:lang w:val="en-KE" w:eastAsia="en-KE"/>
              </w:rPr>
              <w:t>15th Feb</w:t>
            </w:r>
          </w:p>
        </w:tc>
        <w:tc>
          <w:tcPr>
            <w:tcW w:w="1402" w:type="dxa"/>
            <w:noWrap/>
            <w:hideMark/>
          </w:tcPr>
          <w:p w14:paraId="1B03FFAA" w14:textId="77777777" w:rsidR="002B20CA" w:rsidRPr="00A059C1" w:rsidRDefault="002B20CA" w:rsidP="00373E9F">
            <w:pPr>
              <w:cnfStyle w:val="000000000000" w:firstRow="0" w:lastRow="0" w:firstColumn="0" w:lastColumn="0" w:oddVBand="0" w:evenVBand="0" w:oddHBand="0" w:evenHBand="0" w:firstRowFirstColumn="0" w:firstRowLastColumn="0" w:lastRowFirstColumn="0" w:lastRowLastColumn="0"/>
              <w:rPr>
                <w:rFonts w:ascii="Abadi Extra Light" w:eastAsia="Times New Roman" w:hAnsi="Abadi Extra Light" w:cs="Calibri"/>
                <w:color w:val="000000"/>
                <w:szCs w:val="18"/>
                <w:lang w:val="en-KE" w:eastAsia="en-KE"/>
              </w:rPr>
            </w:pPr>
          </w:p>
        </w:tc>
      </w:tr>
      <w:tr w:rsidR="00AB07D3" w:rsidRPr="00B14357" w14:paraId="3E526024" w14:textId="77777777" w:rsidTr="00AB07D3">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039" w:type="dxa"/>
            <w:noWrap/>
            <w:hideMark/>
          </w:tcPr>
          <w:p w14:paraId="10529994" w14:textId="77777777" w:rsidR="002B20CA" w:rsidRPr="00A059C1" w:rsidRDefault="002B20CA" w:rsidP="00373E9F">
            <w:pPr>
              <w:rPr>
                <w:rFonts w:ascii="Abadi Extra Light" w:eastAsia="Times New Roman" w:hAnsi="Abadi Extra Light" w:cs="Calibri"/>
                <w:b w:val="0"/>
                <w:bCs w:val="0"/>
                <w:color w:val="000000"/>
                <w:szCs w:val="18"/>
                <w:lang w:val="en-KE" w:eastAsia="en-KE"/>
              </w:rPr>
            </w:pPr>
            <w:r w:rsidRPr="00A059C1">
              <w:rPr>
                <w:rFonts w:ascii="Abadi Extra Light" w:eastAsia="Times New Roman" w:hAnsi="Abadi Extra Light" w:cs="Calibri"/>
                <w:b w:val="0"/>
                <w:bCs w:val="0"/>
                <w:color w:val="000000"/>
                <w:szCs w:val="18"/>
                <w:lang w:val="en-KE" w:eastAsia="en-KE"/>
              </w:rPr>
              <w:t>Publicize &amp; Publish BPS</w:t>
            </w:r>
          </w:p>
        </w:tc>
        <w:tc>
          <w:tcPr>
            <w:tcW w:w="2618" w:type="dxa"/>
            <w:noWrap/>
            <w:hideMark/>
          </w:tcPr>
          <w:p w14:paraId="4BDA89F2" w14:textId="77777777" w:rsidR="002B20CA" w:rsidRPr="00A059C1" w:rsidRDefault="002B20CA" w:rsidP="00373E9F">
            <w:pPr>
              <w:cnfStyle w:val="000000100000" w:firstRow="0" w:lastRow="0" w:firstColumn="0" w:lastColumn="0" w:oddVBand="0" w:evenVBand="0" w:oddHBand="1" w:evenHBand="0" w:firstRowFirstColumn="0" w:firstRowLastColumn="0" w:lastRowFirstColumn="0" w:lastRowLastColumn="0"/>
              <w:rPr>
                <w:rFonts w:ascii="Abadi Extra Light" w:eastAsia="Times New Roman" w:hAnsi="Abadi Extra Light" w:cs="Calibri"/>
                <w:color w:val="000000"/>
                <w:szCs w:val="18"/>
                <w:lang w:val="en-KE" w:eastAsia="en-KE"/>
              </w:rPr>
            </w:pPr>
          </w:p>
        </w:tc>
        <w:tc>
          <w:tcPr>
            <w:tcW w:w="2083" w:type="dxa"/>
            <w:noWrap/>
            <w:hideMark/>
          </w:tcPr>
          <w:p w14:paraId="19EAF82F" w14:textId="77777777" w:rsidR="002B20CA" w:rsidRPr="00A059C1" w:rsidRDefault="002B20CA" w:rsidP="00373E9F">
            <w:pPr>
              <w:cnfStyle w:val="000000100000" w:firstRow="0" w:lastRow="0" w:firstColumn="0" w:lastColumn="0" w:oddVBand="0" w:evenVBand="0" w:oddHBand="1" w:evenHBand="0" w:firstRowFirstColumn="0" w:firstRowLastColumn="0" w:lastRowFirstColumn="0" w:lastRowLastColumn="0"/>
              <w:rPr>
                <w:rFonts w:ascii="Abadi Extra Light" w:eastAsia="Times New Roman" w:hAnsi="Abadi Extra Light" w:cs="Calibri"/>
                <w:color w:val="000000"/>
                <w:szCs w:val="18"/>
                <w:lang w:val="en-KE" w:eastAsia="en-KE"/>
              </w:rPr>
            </w:pPr>
            <w:r w:rsidRPr="00A059C1">
              <w:rPr>
                <w:rFonts w:ascii="Abadi Extra Light" w:eastAsia="Times New Roman" w:hAnsi="Abadi Extra Light" w:cs="Calibri"/>
                <w:color w:val="000000"/>
                <w:szCs w:val="18"/>
                <w:lang w:val="en-KE" w:eastAsia="en-KE"/>
              </w:rPr>
              <w:t>1st - 2nd Feb</w:t>
            </w:r>
          </w:p>
        </w:tc>
        <w:tc>
          <w:tcPr>
            <w:tcW w:w="1402" w:type="dxa"/>
            <w:shd w:val="clear" w:color="auto" w:fill="C00000"/>
            <w:noWrap/>
            <w:hideMark/>
          </w:tcPr>
          <w:p w14:paraId="663FF2CC" w14:textId="77777777" w:rsidR="002B20CA" w:rsidRPr="00A059C1" w:rsidRDefault="002B20CA" w:rsidP="00373E9F">
            <w:pPr>
              <w:cnfStyle w:val="000000100000" w:firstRow="0" w:lastRow="0" w:firstColumn="0" w:lastColumn="0" w:oddVBand="0" w:evenVBand="0" w:oddHBand="1" w:evenHBand="0" w:firstRowFirstColumn="0" w:firstRowLastColumn="0" w:lastRowFirstColumn="0" w:lastRowLastColumn="0"/>
              <w:rPr>
                <w:rFonts w:ascii="Abadi Extra Light" w:eastAsia="Times New Roman" w:hAnsi="Abadi Extra Light" w:cs="Calibri"/>
                <w:color w:val="000000"/>
                <w:szCs w:val="18"/>
                <w:lang w:val="en-KE" w:eastAsia="en-KE"/>
              </w:rPr>
            </w:pPr>
            <w:r w:rsidRPr="00A059C1">
              <w:rPr>
                <w:rFonts w:ascii="Abadi Extra Light" w:eastAsia="Times New Roman" w:hAnsi="Abadi Extra Light" w:cs="Calibri"/>
                <w:color w:val="000000"/>
                <w:szCs w:val="18"/>
                <w:lang w:val="en-KE" w:eastAsia="en-KE"/>
              </w:rPr>
              <w:t> </w:t>
            </w:r>
          </w:p>
        </w:tc>
      </w:tr>
      <w:tr w:rsidR="002B20CA" w:rsidRPr="00A059C1" w14:paraId="09780725" w14:textId="77777777" w:rsidTr="00AB07D3">
        <w:trPr>
          <w:trHeight w:val="281"/>
        </w:trPr>
        <w:tc>
          <w:tcPr>
            <w:cnfStyle w:val="001000000000" w:firstRow="0" w:lastRow="0" w:firstColumn="1" w:lastColumn="0" w:oddVBand="0" w:evenVBand="0" w:oddHBand="0" w:evenHBand="0" w:firstRowFirstColumn="0" w:firstRowLastColumn="0" w:lastRowFirstColumn="0" w:lastRowLastColumn="0"/>
            <w:tcW w:w="3039" w:type="dxa"/>
            <w:noWrap/>
            <w:hideMark/>
          </w:tcPr>
          <w:p w14:paraId="793F0B5C" w14:textId="77777777" w:rsidR="002B20CA" w:rsidRPr="00A059C1" w:rsidRDefault="002B20CA" w:rsidP="00373E9F">
            <w:pPr>
              <w:rPr>
                <w:rFonts w:ascii="Abadi Extra Light" w:eastAsia="Times New Roman" w:hAnsi="Abadi Extra Light" w:cs="Calibri"/>
                <w:b w:val="0"/>
                <w:bCs w:val="0"/>
                <w:color w:val="000000"/>
                <w:szCs w:val="18"/>
                <w:lang w:val="en-KE" w:eastAsia="en-KE"/>
              </w:rPr>
            </w:pPr>
            <w:r w:rsidRPr="00A059C1">
              <w:rPr>
                <w:rFonts w:ascii="Abadi Extra Light" w:eastAsia="Times New Roman" w:hAnsi="Abadi Extra Light" w:cs="Calibri"/>
                <w:b w:val="0"/>
                <w:bCs w:val="0"/>
                <w:color w:val="000000"/>
                <w:szCs w:val="18"/>
                <w:lang w:val="en-KE" w:eastAsia="en-KE"/>
              </w:rPr>
              <w:t xml:space="preserve">Approval </w:t>
            </w:r>
          </w:p>
        </w:tc>
        <w:tc>
          <w:tcPr>
            <w:tcW w:w="2618" w:type="dxa"/>
            <w:noWrap/>
            <w:hideMark/>
          </w:tcPr>
          <w:p w14:paraId="02A3B0CD" w14:textId="77777777" w:rsidR="002B20CA" w:rsidRPr="00A059C1" w:rsidRDefault="002B20CA" w:rsidP="00373E9F">
            <w:pPr>
              <w:cnfStyle w:val="000000000000" w:firstRow="0" w:lastRow="0" w:firstColumn="0" w:lastColumn="0" w:oddVBand="0" w:evenVBand="0" w:oddHBand="0" w:evenHBand="0" w:firstRowFirstColumn="0" w:firstRowLastColumn="0" w:lastRowFirstColumn="0" w:lastRowLastColumn="0"/>
              <w:rPr>
                <w:rFonts w:ascii="Abadi Extra Light" w:eastAsia="Times New Roman" w:hAnsi="Abadi Extra Light" w:cs="Calibri"/>
                <w:color w:val="000000"/>
                <w:szCs w:val="18"/>
                <w:lang w:val="en-KE" w:eastAsia="en-KE"/>
              </w:rPr>
            </w:pPr>
            <w:r w:rsidRPr="00A059C1">
              <w:rPr>
                <w:rFonts w:ascii="Abadi Extra Light" w:eastAsia="Times New Roman" w:hAnsi="Abadi Extra Light" w:cs="Calibri"/>
                <w:color w:val="000000"/>
                <w:szCs w:val="18"/>
                <w:lang w:val="en-KE" w:eastAsia="en-KE"/>
              </w:rPr>
              <w:t>Parliament</w:t>
            </w:r>
          </w:p>
        </w:tc>
        <w:tc>
          <w:tcPr>
            <w:tcW w:w="2083" w:type="dxa"/>
            <w:noWrap/>
            <w:hideMark/>
          </w:tcPr>
          <w:p w14:paraId="5CC25CFF" w14:textId="77777777" w:rsidR="002B20CA" w:rsidRPr="00A059C1" w:rsidRDefault="002B20CA" w:rsidP="00373E9F">
            <w:pPr>
              <w:cnfStyle w:val="000000000000" w:firstRow="0" w:lastRow="0" w:firstColumn="0" w:lastColumn="0" w:oddVBand="0" w:evenVBand="0" w:oddHBand="0" w:evenHBand="0" w:firstRowFirstColumn="0" w:firstRowLastColumn="0" w:lastRowFirstColumn="0" w:lastRowLastColumn="0"/>
              <w:rPr>
                <w:rFonts w:ascii="Abadi Extra Light" w:eastAsia="Times New Roman" w:hAnsi="Abadi Extra Light" w:cs="Calibri"/>
                <w:color w:val="000000"/>
                <w:szCs w:val="18"/>
                <w:lang w:val="en-KE" w:eastAsia="en-KE"/>
              </w:rPr>
            </w:pPr>
            <w:r w:rsidRPr="00A059C1">
              <w:rPr>
                <w:rFonts w:ascii="Abadi Extra Light" w:eastAsia="Times New Roman" w:hAnsi="Abadi Extra Light" w:cs="Calibri"/>
                <w:color w:val="000000"/>
                <w:szCs w:val="18"/>
                <w:lang w:val="en-KE" w:eastAsia="en-KE"/>
              </w:rPr>
              <w:t>28th Feb- 1st March</w:t>
            </w:r>
          </w:p>
        </w:tc>
        <w:tc>
          <w:tcPr>
            <w:tcW w:w="1402" w:type="dxa"/>
            <w:shd w:val="clear" w:color="auto" w:fill="C00000"/>
            <w:noWrap/>
            <w:hideMark/>
          </w:tcPr>
          <w:p w14:paraId="27768925" w14:textId="77777777" w:rsidR="002B20CA" w:rsidRPr="00A059C1" w:rsidRDefault="002B20CA" w:rsidP="00373E9F">
            <w:pPr>
              <w:jc w:val="center"/>
              <w:cnfStyle w:val="000000000000" w:firstRow="0" w:lastRow="0" w:firstColumn="0" w:lastColumn="0" w:oddVBand="0" w:evenVBand="0" w:oddHBand="0" w:evenHBand="0" w:firstRowFirstColumn="0" w:firstRowLastColumn="0" w:lastRowFirstColumn="0" w:lastRowLastColumn="0"/>
              <w:rPr>
                <w:rFonts w:ascii="Abadi Extra Light" w:eastAsia="Times New Roman" w:hAnsi="Abadi Extra Light" w:cs="Calibri"/>
                <w:color w:val="000000"/>
                <w:szCs w:val="18"/>
                <w:lang w:val="en-KE" w:eastAsia="en-KE"/>
              </w:rPr>
            </w:pPr>
          </w:p>
        </w:tc>
      </w:tr>
      <w:tr w:rsidR="00AB07D3" w:rsidRPr="00B14357" w14:paraId="423F668A" w14:textId="77777777" w:rsidTr="00AB07D3">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039" w:type="dxa"/>
            <w:noWrap/>
            <w:hideMark/>
          </w:tcPr>
          <w:p w14:paraId="5CB6BA7B" w14:textId="77777777" w:rsidR="002B20CA" w:rsidRPr="00A059C1" w:rsidRDefault="002B20CA" w:rsidP="00373E9F">
            <w:pPr>
              <w:rPr>
                <w:rFonts w:ascii="Franklin Gothic Demi" w:eastAsia="Times New Roman" w:hAnsi="Franklin Gothic Demi" w:cs="Calibri"/>
                <w:b w:val="0"/>
                <w:bCs w:val="0"/>
                <w:color w:val="000000"/>
                <w:szCs w:val="18"/>
                <w:lang w:val="en-KE" w:eastAsia="en-KE"/>
              </w:rPr>
            </w:pPr>
            <w:r w:rsidRPr="00A059C1">
              <w:rPr>
                <w:rFonts w:ascii="Franklin Gothic Demi" w:eastAsia="Times New Roman" w:hAnsi="Franklin Gothic Demi" w:cs="Calibri"/>
                <w:b w:val="0"/>
                <w:bCs w:val="0"/>
                <w:color w:val="000000"/>
                <w:szCs w:val="18"/>
                <w:lang w:val="en-KE" w:eastAsia="en-KE"/>
              </w:rPr>
              <w:t>Budget Estimates &amp; Related Documents</w:t>
            </w:r>
          </w:p>
        </w:tc>
        <w:tc>
          <w:tcPr>
            <w:tcW w:w="2618" w:type="dxa"/>
            <w:noWrap/>
            <w:hideMark/>
          </w:tcPr>
          <w:p w14:paraId="691CE8AF" w14:textId="77777777" w:rsidR="002B20CA" w:rsidRPr="00A059C1" w:rsidRDefault="002B20CA" w:rsidP="00373E9F">
            <w:pPr>
              <w:cnfStyle w:val="000000100000" w:firstRow="0" w:lastRow="0" w:firstColumn="0" w:lastColumn="0" w:oddVBand="0" w:evenVBand="0" w:oddHBand="1" w:evenHBand="0" w:firstRowFirstColumn="0" w:firstRowLastColumn="0" w:lastRowFirstColumn="0" w:lastRowLastColumn="0"/>
              <w:rPr>
                <w:rFonts w:ascii="Franklin Gothic Demi" w:eastAsia="Times New Roman" w:hAnsi="Franklin Gothic Demi" w:cs="Calibri"/>
                <w:color w:val="000000"/>
                <w:szCs w:val="18"/>
                <w:lang w:val="en-KE" w:eastAsia="en-KE"/>
              </w:rPr>
            </w:pPr>
          </w:p>
        </w:tc>
        <w:tc>
          <w:tcPr>
            <w:tcW w:w="2083" w:type="dxa"/>
            <w:noWrap/>
            <w:hideMark/>
          </w:tcPr>
          <w:p w14:paraId="15175FE9" w14:textId="77777777" w:rsidR="002B20CA" w:rsidRPr="00A059C1" w:rsidRDefault="002B20CA" w:rsidP="00373E9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18"/>
                <w:lang w:val="en-KE" w:eastAsia="en-KE"/>
              </w:rPr>
            </w:pPr>
          </w:p>
        </w:tc>
        <w:tc>
          <w:tcPr>
            <w:tcW w:w="1402" w:type="dxa"/>
            <w:noWrap/>
            <w:hideMark/>
          </w:tcPr>
          <w:p w14:paraId="3CC73B6C" w14:textId="77777777" w:rsidR="002B20CA" w:rsidRPr="00A059C1" w:rsidRDefault="002B20CA" w:rsidP="00373E9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18"/>
                <w:lang w:val="en-KE" w:eastAsia="en-KE"/>
              </w:rPr>
            </w:pPr>
          </w:p>
        </w:tc>
      </w:tr>
      <w:tr w:rsidR="002B20CA" w:rsidRPr="00B14357" w14:paraId="10BCEA7E" w14:textId="77777777" w:rsidTr="00AB07D3">
        <w:trPr>
          <w:trHeight w:val="905"/>
        </w:trPr>
        <w:tc>
          <w:tcPr>
            <w:cnfStyle w:val="001000000000" w:firstRow="0" w:lastRow="0" w:firstColumn="1" w:lastColumn="0" w:oddVBand="0" w:evenVBand="0" w:oddHBand="0" w:evenHBand="0" w:firstRowFirstColumn="0" w:firstRowLastColumn="0" w:lastRowFirstColumn="0" w:lastRowLastColumn="0"/>
            <w:tcW w:w="3039" w:type="dxa"/>
            <w:noWrap/>
            <w:hideMark/>
          </w:tcPr>
          <w:p w14:paraId="154DA0D7" w14:textId="77777777" w:rsidR="002B20CA" w:rsidRPr="00A059C1" w:rsidRDefault="002B20CA" w:rsidP="00373E9F">
            <w:pPr>
              <w:rPr>
                <w:rFonts w:ascii="Abadi Extra Light" w:eastAsia="Times New Roman" w:hAnsi="Abadi Extra Light" w:cs="Calibri"/>
                <w:b w:val="0"/>
                <w:bCs w:val="0"/>
                <w:color w:val="000000"/>
                <w:szCs w:val="18"/>
                <w:lang w:val="en-KE" w:eastAsia="en-KE"/>
              </w:rPr>
            </w:pPr>
            <w:r w:rsidRPr="00A059C1">
              <w:rPr>
                <w:rFonts w:ascii="Abadi Extra Light" w:eastAsia="Times New Roman" w:hAnsi="Abadi Extra Light" w:cs="Calibri"/>
                <w:b w:val="0"/>
                <w:bCs w:val="0"/>
                <w:color w:val="000000"/>
                <w:szCs w:val="18"/>
                <w:lang w:val="en-KE" w:eastAsia="en-KE"/>
              </w:rPr>
              <w:t>Submission for approval to Cabinet</w:t>
            </w:r>
          </w:p>
        </w:tc>
        <w:tc>
          <w:tcPr>
            <w:tcW w:w="2618" w:type="dxa"/>
            <w:hideMark/>
          </w:tcPr>
          <w:p w14:paraId="5E201060" w14:textId="77777777" w:rsidR="002B20CA" w:rsidRPr="00A059C1" w:rsidRDefault="002B20CA" w:rsidP="00373E9F">
            <w:pPr>
              <w:cnfStyle w:val="000000000000" w:firstRow="0" w:lastRow="0" w:firstColumn="0" w:lastColumn="0" w:oddVBand="0" w:evenVBand="0" w:oddHBand="0" w:evenHBand="0" w:firstRowFirstColumn="0" w:firstRowLastColumn="0" w:lastRowFirstColumn="0" w:lastRowLastColumn="0"/>
              <w:rPr>
                <w:rFonts w:ascii="Abadi Extra Light" w:eastAsia="Times New Roman" w:hAnsi="Abadi Extra Light" w:cs="Calibri"/>
                <w:color w:val="000000"/>
                <w:szCs w:val="18"/>
                <w:lang w:val="en-KE" w:eastAsia="en-KE"/>
              </w:rPr>
            </w:pPr>
            <w:r w:rsidRPr="00A059C1">
              <w:rPr>
                <w:rFonts w:ascii="Abadi Extra Light" w:eastAsia="Times New Roman" w:hAnsi="Abadi Extra Light" w:cs="Calibri"/>
                <w:color w:val="000000"/>
                <w:szCs w:val="18"/>
                <w:lang w:val="en-KE" w:eastAsia="en-KE"/>
              </w:rPr>
              <w:t xml:space="preserve">CS Treasury &amp; Planning; </w:t>
            </w:r>
            <w:r w:rsidRPr="00A059C1">
              <w:rPr>
                <w:rFonts w:ascii="Abadi Extra Light" w:eastAsia="Times New Roman" w:hAnsi="Abadi Extra Light" w:cs="Calibri"/>
                <w:color w:val="000000"/>
                <w:szCs w:val="18"/>
                <w:lang w:val="en-KE" w:eastAsia="en-KE"/>
              </w:rPr>
              <w:br/>
              <w:t xml:space="preserve">Clerk-Parliamentary Service Commission; </w:t>
            </w:r>
            <w:r w:rsidRPr="00A059C1">
              <w:rPr>
                <w:rFonts w:ascii="Abadi Extra Light" w:eastAsia="Times New Roman" w:hAnsi="Abadi Extra Light" w:cs="Calibri"/>
                <w:color w:val="000000"/>
                <w:szCs w:val="18"/>
                <w:lang w:val="en-KE" w:eastAsia="en-KE"/>
              </w:rPr>
              <w:br/>
              <w:t>Registrar-Judicial Service Commission</w:t>
            </w:r>
          </w:p>
        </w:tc>
        <w:tc>
          <w:tcPr>
            <w:tcW w:w="2083" w:type="dxa"/>
            <w:noWrap/>
            <w:hideMark/>
          </w:tcPr>
          <w:p w14:paraId="0F211C87" w14:textId="77777777" w:rsidR="002B20CA" w:rsidRPr="00A059C1" w:rsidRDefault="002B20CA" w:rsidP="00373E9F">
            <w:pPr>
              <w:cnfStyle w:val="000000000000" w:firstRow="0" w:lastRow="0" w:firstColumn="0" w:lastColumn="0" w:oddVBand="0" w:evenVBand="0" w:oddHBand="0" w:evenHBand="0" w:firstRowFirstColumn="0" w:firstRowLastColumn="0" w:lastRowFirstColumn="0" w:lastRowLastColumn="0"/>
              <w:rPr>
                <w:rFonts w:ascii="Abadi Extra Light" w:eastAsia="Times New Roman" w:hAnsi="Abadi Extra Light" w:cs="Calibri"/>
                <w:color w:val="000000"/>
                <w:szCs w:val="18"/>
                <w:lang w:val="en-KE" w:eastAsia="en-KE"/>
              </w:rPr>
            </w:pPr>
          </w:p>
        </w:tc>
        <w:tc>
          <w:tcPr>
            <w:tcW w:w="1402" w:type="dxa"/>
            <w:noWrap/>
            <w:hideMark/>
          </w:tcPr>
          <w:p w14:paraId="04501EDE" w14:textId="77777777" w:rsidR="002B20CA" w:rsidRPr="00A059C1" w:rsidRDefault="002B20CA" w:rsidP="00373E9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18"/>
                <w:lang w:val="en-KE" w:eastAsia="en-KE"/>
              </w:rPr>
            </w:pPr>
          </w:p>
        </w:tc>
      </w:tr>
      <w:tr w:rsidR="00AB07D3" w:rsidRPr="00B14357" w14:paraId="52FE3831" w14:textId="77777777" w:rsidTr="00AB07D3">
        <w:trPr>
          <w:cnfStyle w:val="000000100000" w:firstRow="0" w:lastRow="0" w:firstColumn="0" w:lastColumn="0" w:oddVBand="0" w:evenVBand="0" w:oddHBand="1" w:evenHBand="0" w:firstRowFirstColumn="0" w:firstRowLastColumn="0" w:lastRowFirstColumn="0" w:lastRowLastColumn="0"/>
          <w:trHeight w:val="925"/>
        </w:trPr>
        <w:tc>
          <w:tcPr>
            <w:cnfStyle w:val="001000000000" w:firstRow="0" w:lastRow="0" w:firstColumn="1" w:lastColumn="0" w:oddVBand="0" w:evenVBand="0" w:oddHBand="0" w:evenHBand="0" w:firstRowFirstColumn="0" w:firstRowLastColumn="0" w:lastRowFirstColumn="0" w:lastRowLastColumn="0"/>
            <w:tcW w:w="3039" w:type="dxa"/>
            <w:noWrap/>
            <w:hideMark/>
          </w:tcPr>
          <w:p w14:paraId="3A7C8DF5" w14:textId="77777777" w:rsidR="002B20CA" w:rsidRPr="00A059C1" w:rsidRDefault="002B20CA" w:rsidP="00373E9F">
            <w:pPr>
              <w:rPr>
                <w:rFonts w:ascii="Abadi Extra Light" w:eastAsia="Times New Roman" w:hAnsi="Abadi Extra Light" w:cs="Calibri"/>
                <w:b w:val="0"/>
                <w:bCs w:val="0"/>
                <w:color w:val="000000"/>
                <w:szCs w:val="18"/>
                <w:lang w:val="en-KE" w:eastAsia="en-KE"/>
              </w:rPr>
            </w:pPr>
            <w:r w:rsidRPr="00A059C1">
              <w:rPr>
                <w:rFonts w:ascii="Abadi Extra Light" w:eastAsia="Times New Roman" w:hAnsi="Abadi Extra Light" w:cs="Calibri"/>
                <w:b w:val="0"/>
                <w:bCs w:val="0"/>
                <w:color w:val="000000"/>
                <w:szCs w:val="18"/>
                <w:lang w:val="en-KE" w:eastAsia="en-KE"/>
              </w:rPr>
              <w:t>Submission for approval to National Assembly</w:t>
            </w:r>
          </w:p>
        </w:tc>
        <w:tc>
          <w:tcPr>
            <w:tcW w:w="2618" w:type="dxa"/>
            <w:hideMark/>
          </w:tcPr>
          <w:p w14:paraId="575ED3F5" w14:textId="77777777" w:rsidR="002B20CA" w:rsidRPr="00A059C1" w:rsidRDefault="002B20CA" w:rsidP="00373E9F">
            <w:pPr>
              <w:cnfStyle w:val="000000100000" w:firstRow="0" w:lastRow="0" w:firstColumn="0" w:lastColumn="0" w:oddVBand="0" w:evenVBand="0" w:oddHBand="1" w:evenHBand="0" w:firstRowFirstColumn="0" w:firstRowLastColumn="0" w:lastRowFirstColumn="0" w:lastRowLastColumn="0"/>
              <w:rPr>
                <w:rFonts w:ascii="Abadi Extra Light" w:eastAsia="Times New Roman" w:hAnsi="Abadi Extra Light" w:cs="Calibri"/>
                <w:color w:val="000000"/>
                <w:szCs w:val="18"/>
                <w:lang w:val="en-KE" w:eastAsia="en-KE"/>
              </w:rPr>
            </w:pPr>
            <w:r w:rsidRPr="00A059C1">
              <w:rPr>
                <w:rFonts w:ascii="Abadi Extra Light" w:eastAsia="Times New Roman" w:hAnsi="Abadi Extra Light" w:cs="Calibri"/>
                <w:color w:val="000000"/>
                <w:szCs w:val="18"/>
                <w:lang w:val="en-KE" w:eastAsia="en-KE"/>
              </w:rPr>
              <w:t xml:space="preserve">CS Treasury &amp; Planning; </w:t>
            </w:r>
            <w:r w:rsidRPr="00A059C1">
              <w:rPr>
                <w:rFonts w:ascii="Abadi Extra Light" w:eastAsia="Times New Roman" w:hAnsi="Abadi Extra Light" w:cs="Calibri"/>
                <w:color w:val="000000"/>
                <w:szCs w:val="18"/>
                <w:lang w:val="en-KE" w:eastAsia="en-KE"/>
              </w:rPr>
              <w:br/>
              <w:t xml:space="preserve">Clerk-Parliamentary Service Commission; </w:t>
            </w:r>
            <w:r w:rsidRPr="00A059C1">
              <w:rPr>
                <w:rFonts w:ascii="Abadi Extra Light" w:eastAsia="Times New Roman" w:hAnsi="Abadi Extra Light" w:cs="Calibri"/>
                <w:color w:val="000000"/>
                <w:szCs w:val="18"/>
                <w:lang w:val="en-KE" w:eastAsia="en-KE"/>
              </w:rPr>
              <w:br/>
              <w:t>Registrar-Judicial Service Commission</w:t>
            </w:r>
          </w:p>
        </w:tc>
        <w:tc>
          <w:tcPr>
            <w:tcW w:w="2083" w:type="dxa"/>
            <w:noWrap/>
            <w:hideMark/>
          </w:tcPr>
          <w:p w14:paraId="6BF643AE" w14:textId="77777777" w:rsidR="002B20CA" w:rsidRPr="00A059C1" w:rsidRDefault="002B20CA" w:rsidP="00373E9F">
            <w:pPr>
              <w:cnfStyle w:val="000000100000" w:firstRow="0" w:lastRow="0" w:firstColumn="0" w:lastColumn="0" w:oddVBand="0" w:evenVBand="0" w:oddHBand="1" w:evenHBand="0" w:firstRowFirstColumn="0" w:firstRowLastColumn="0" w:lastRowFirstColumn="0" w:lastRowLastColumn="0"/>
              <w:rPr>
                <w:rFonts w:ascii="Abadi Extra Light" w:eastAsia="Times New Roman" w:hAnsi="Abadi Extra Light" w:cs="Calibri"/>
                <w:color w:val="000000"/>
                <w:szCs w:val="18"/>
                <w:lang w:val="en-KE" w:eastAsia="en-KE"/>
              </w:rPr>
            </w:pPr>
            <w:r w:rsidRPr="00A059C1">
              <w:rPr>
                <w:rFonts w:ascii="Abadi Extra Light" w:eastAsia="Times New Roman" w:hAnsi="Abadi Extra Light" w:cs="Calibri"/>
                <w:color w:val="000000"/>
                <w:szCs w:val="18"/>
                <w:lang w:val="en-KE" w:eastAsia="en-KE"/>
              </w:rPr>
              <w:t>30th April</w:t>
            </w:r>
          </w:p>
        </w:tc>
        <w:tc>
          <w:tcPr>
            <w:tcW w:w="1402" w:type="dxa"/>
            <w:noWrap/>
            <w:hideMark/>
          </w:tcPr>
          <w:p w14:paraId="618F56B5" w14:textId="77777777" w:rsidR="002B20CA" w:rsidRPr="00A059C1" w:rsidRDefault="002B20CA" w:rsidP="00373E9F">
            <w:pPr>
              <w:cnfStyle w:val="000000100000" w:firstRow="0" w:lastRow="0" w:firstColumn="0" w:lastColumn="0" w:oddVBand="0" w:evenVBand="0" w:oddHBand="1" w:evenHBand="0" w:firstRowFirstColumn="0" w:firstRowLastColumn="0" w:lastRowFirstColumn="0" w:lastRowLastColumn="0"/>
              <w:rPr>
                <w:rFonts w:ascii="Abadi Extra Light" w:eastAsia="Times New Roman" w:hAnsi="Abadi Extra Light" w:cs="Calibri"/>
                <w:color w:val="000000"/>
                <w:szCs w:val="18"/>
                <w:lang w:val="en-KE" w:eastAsia="en-KE"/>
              </w:rPr>
            </w:pPr>
          </w:p>
        </w:tc>
      </w:tr>
      <w:tr w:rsidR="002B20CA" w:rsidRPr="00A059C1" w14:paraId="76518DDD" w14:textId="77777777" w:rsidTr="00AB07D3">
        <w:trPr>
          <w:trHeight w:val="563"/>
        </w:trPr>
        <w:tc>
          <w:tcPr>
            <w:cnfStyle w:val="001000000000" w:firstRow="0" w:lastRow="0" w:firstColumn="1" w:lastColumn="0" w:oddVBand="0" w:evenVBand="0" w:oddHBand="0" w:evenHBand="0" w:firstRowFirstColumn="0" w:firstRowLastColumn="0" w:lastRowFirstColumn="0" w:lastRowLastColumn="0"/>
            <w:tcW w:w="3039" w:type="dxa"/>
            <w:hideMark/>
          </w:tcPr>
          <w:p w14:paraId="7DBE92DA" w14:textId="77777777" w:rsidR="002B20CA" w:rsidRPr="00A059C1" w:rsidRDefault="002B20CA" w:rsidP="00373E9F">
            <w:pPr>
              <w:rPr>
                <w:rFonts w:ascii="Abadi Extra Light" w:eastAsia="Times New Roman" w:hAnsi="Abadi Extra Light" w:cs="Calibri"/>
                <w:b w:val="0"/>
                <w:bCs w:val="0"/>
                <w:color w:val="000000"/>
                <w:szCs w:val="18"/>
                <w:lang w:val="en-KE" w:eastAsia="en-KE"/>
              </w:rPr>
            </w:pPr>
            <w:r w:rsidRPr="00A059C1">
              <w:rPr>
                <w:rFonts w:ascii="Abadi Extra Light" w:eastAsia="Times New Roman" w:hAnsi="Abadi Extra Light" w:cs="Calibri"/>
                <w:b w:val="0"/>
                <w:bCs w:val="0"/>
                <w:color w:val="000000"/>
                <w:szCs w:val="18"/>
                <w:lang w:val="en-KE" w:eastAsia="en-KE"/>
              </w:rPr>
              <w:t>Submission to Parliament of Treasury's feedback on JSC &amp; PSC budgets</w:t>
            </w:r>
          </w:p>
        </w:tc>
        <w:tc>
          <w:tcPr>
            <w:tcW w:w="2618" w:type="dxa"/>
            <w:noWrap/>
            <w:hideMark/>
          </w:tcPr>
          <w:p w14:paraId="1314BA59" w14:textId="77777777" w:rsidR="002B20CA" w:rsidRPr="00A059C1" w:rsidRDefault="002B20CA" w:rsidP="00373E9F">
            <w:pPr>
              <w:cnfStyle w:val="000000000000" w:firstRow="0" w:lastRow="0" w:firstColumn="0" w:lastColumn="0" w:oddVBand="0" w:evenVBand="0" w:oddHBand="0" w:evenHBand="0" w:firstRowFirstColumn="0" w:firstRowLastColumn="0" w:lastRowFirstColumn="0" w:lastRowLastColumn="0"/>
              <w:rPr>
                <w:rFonts w:ascii="Abadi Extra Light" w:eastAsia="Times New Roman" w:hAnsi="Abadi Extra Light" w:cs="Calibri"/>
                <w:color w:val="000000"/>
                <w:szCs w:val="18"/>
                <w:lang w:val="en-KE" w:eastAsia="en-KE"/>
              </w:rPr>
            </w:pPr>
            <w:r w:rsidRPr="00A059C1">
              <w:rPr>
                <w:rFonts w:ascii="Abadi Extra Light" w:eastAsia="Times New Roman" w:hAnsi="Abadi Extra Light" w:cs="Calibri"/>
                <w:color w:val="000000"/>
                <w:szCs w:val="18"/>
                <w:lang w:val="en-KE" w:eastAsia="en-KE"/>
              </w:rPr>
              <w:t>CS Treasury &amp; Planning</w:t>
            </w:r>
          </w:p>
        </w:tc>
        <w:tc>
          <w:tcPr>
            <w:tcW w:w="2083" w:type="dxa"/>
            <w:noWrap/>
            <w:hideMark/>
          </w:tcPr>
          <w:p w14:paraId="1D3D9345" w14:textId="77777777" w:rsidR="002B20CA" w:rsidRPr="00A059C1" w:rsidRDefault="002B20CA" w:rsidP="00373E9F">
            <w:pPr>
              <w:cnfStyle w:val="000000000000" w:firstRow="0" w:lastRow="0" w:firstColumn="0" w:lastColumn="0" w:oddVBand="0" w:evenVBand="0" w:oddHBand="0" w:evenHBand="0" w:firstRowFirstColumn="0" w:firstRowLastColumn="0" w:lastRowFirstColumn="0" w:lastRowLastColumn="0"/>
              <w:rPr>
                <w:rFonts w:ascii="Abadi Extra Light" w:eastAsia="Times New Roman" w:hAnsi="Abadi Extra Light" w:cs="Calibri"/>
                <w:color w:val="000000"/>
                <w:szCs w:val="18"/>
                <w:lang w:val="en-KE" w:eastAsia="en-KE"/>
              </w:rPr>
            </w:pPr>
            <w:r w:rsidRPr="00A059C1">
              <w:rPr>
                <w:rFonts w:ascii="Abadi Extra Light" w:eastAsia="Times New Roman" w:hAnsi="Abadi Extra Light" w:cs="Calibri"/>
                <w:color w:val="000000"/>
                <w:szCs w:val="18"/>
                <w:lang w:val="en-KE" w:eastAsia="en-KE"/>
              </w:rPr>
              <w:t>15th May</w:t>
            </w:r>
          </w:p>
        </w:tc>
        <w:tc>
          <w:tcPr>
            <w:tcW w:w="1402" w:type="dxa"/>
            <w:noWrap/>
            <w:hideMark/>
          </w:tcPr>
          <w:p w14:paraId="5E47749D" w14:textId="77777777" w:rsidR="002B20CA" w:rsidRPr="00A059C1" w:rsidRDefault="002B20CA" w:rsidP="00373E9F">
            <w:pPr>
              <w:cnfStyle w:val="000000000000" w:firstRow="0" w:lastRow="0" w:firstColumn="0" w:lastColumn="0" w:oddVBand="0" w:evenVBand="0" w:oddHBand="0" w:evenHBand="0" w:firstRowFirstColumn="0" w:firstRowLastColumn="0" w:lastRowFirstColumn="0" w:lastRowLastColumn="0"/>
              <w:rPr>
                <w:rFonts w:ascii="Abadi Extra Light" w:eastAsia="Times New Roman" w:hAnsi="Abadi Extra Light" w:cs="Calibri"/>
                <w:color w:val="000000"/>
                <w:szCs w:val="18"/>
                <w:lang w:val="en-KE" w:eastAsia="en-KE"/>
              </w:rPr>
            </w:pPr>
          </w:p>
        </w:tc>
      </w:tr>
      <w:tr w:rsidR="00AB07D3" w:rsidRPr="00B14357" w14:paraId="6B30758E" w14:textId="77777777" w:rsidTr="00AB07D3">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039" w:type="dxa"/>
            <w:noWrap/>
            <w:hideMark/>
          </w:tcPr>
          <w:p w14:paraId="31BC4787" w14:textId="77777777" w:rsidR="002B20CA" w:rsidRPr="00A059C1" w:rsidRDefault="002B20CA" w:rsidP="00373E9F">
            <w:pPr>
              <w:rPr>
                <w:rFonts w:ascii="Abadi Extra Light" w:eastAsia="Times New Roman" w:hAnsi="Abadi Extra Light" w:cs="Calibri"/>
                <w:b w:val="0"/>
                <w:bCs w:val="0"/>
                <w:color w:val="000000"/>
                <w:szCs w:val="18"/>
                <w:lang w:val="en-KE" w:eastAsia="en-KE"/>
              </w:rPr>
            </w:pPr>
            <w:r w:rsidRPr="00A059C1">
              <w:rPr>
                <w:rFonts w:ascii="Abadi Extra Light" w:eastAsia="Times New Roman" w:hAnsi="Abadi Extra Light" w:cs="Calibri"/>
                <w:b w:val="0"/>
                <w:bCs w:val="0"/>
                <w:color w:val="000000"/>
                <w:szCs w:val="18"/>
                <w:lang w:val="en-KE" w:eastAsia="en-KE"/>
              </w:rPr>
              <w:t>Publicize &amp; Publish budget estimates</w:t>
            </w:r>
          </w:p>
        </w:tc>
        <w:tc>
          <w:tcPr>
            <w:tcW w:w="2618" w:type="dxa"/>
            <w:noWrap/>
            <w:hideMark/>
          </w:tcPr>
          <w:p w14:paraId="1F10E3C8" w14:textId="77777777" w:rsidR="002B20CA" w:rsidRPr="00A059C1" w:rsidRDefault="002B20CA" w:rsidP="00373E9F">
            <w:pPr>
              <w:cnfStyle w:val="000000100000" w:firstRow="0" w:lastRow="0" w:firstColumn="0" w:lastColumn="0" w:oddVBand="0" w:evenVBand="0" w:oddHBand="1" w:evenHBand="0" w:firstRowFirstColumn="0" w:firstRowLastColumn="0" w:lastRowFirstColumn="0" w:lastRowLastColumn="0"/>
              <w:rPr>
                <w:rFonts w:ascii="Abadi Extra Light" w:eastAsia="Times New Roman" w:hAnsi="Abadi Extra Light" w:cs="Calibri"/>
                <w:color w:val="000000"/>
                <w:szCs w:val="18"/>
                <w:lang w:val="en-KE" w:eastAsia="en-KE"/>
              </w:rPr>
            </w:pPr>
            <w:r w:rsidRPr="00A059C1">
              <w:rPr>
                <w:rFonts w:ascii="Abadi Extra Light" w:eastAsia="Times New Roman" w:hAnsi="Abadi Extra Light" w:cs="Calibri"/>
                <w:color w:val="000000"/>
                <w:szCs w:val="18"/>
                <w:lang w:val="en-KE" w:eastAsia="en-KE"/>
              </w:rPr>
              <w:t>CS Treasury &amp; Planning</w:t>
            </w:r>
          </w:p>
        </w:tc>
        <w:tc>
          <w:tcPr>
            <w:tcW w:w="2083" w:type="dxa"/>
            <w:noWrap/>
            <w:hideMark/>
          </w:tcPr>
          <w:p w14:paraId="65FF2C0C" w14:textId="77777777" w:rsidR="002B20CA" w:rsidRPr="00A059C1" w:rsidRDefault="002B20CA" w:rsidP="00373E9F">
            <w:pPr>
              <w:cnfStyle w:val="000000100000" w:firstRow="0" w:lastRow="0" w:firstColumn="0" w:lastColumn="0" w:oddVBand="0" w:evenVBand="0" w:oddHBand="1" w:evenHBand="0" w:firstRowFirstColumn="0" w:firstRowLastColumn="0" w:lastRowFirstColumn="0" w:lastRowLastColumn="0"/>
              <w:rPr>
                <w:rFonts w:ascii="Abadi Extra Light" w:eastAsia="Times New Roman" w:hAnsi="Abadi Extra Light" w:cs="Calibri"/>
                <w:color w:val="000000"/>
                <w:szCs w:val="18"/>
                <w:lang w:val="en-KE" w:eastAsia="en-KE"/>
              </w:rPr>
            </w:pPr>
            <w:r w:rsidRPr="00A059C1">
              <w:rPr>
                <w:rFonts w:ascii="Abadi Extra Light" w:eastAsia="Times New Roman" w:hAnsi="Abadi Extra Light" w:cs="Calibri"/>
                <w:color w:val="000000"/>
                <w:szCs w:val="18"/>
                <w:lang w:val="en-KE" w:eastAsia="en-KE"/>
              </w:rPr>
              <w:t>As soon as 30th April</w:t>
            </w:r>
          </w:p>
        </w:tc>
        <w:tc>
          <w:tcPr>
            <w:tcW w:w="1402" w:type="dxa"/>
            <w:shd w:val="clear" w:color="auto" w:fill="C00000"/>
            <w:noWrap/>
            <w:hideMark/>
          </w:tcPr>
          <w:p w14:paraId="0949B1A3" w14:textId="77777777" w:rsidR="002B20CA" w:rsidRPr="00A059C1" w:rsidRDefault="002B20CA" w:rsidP="00373E9F">
            <w:pPr>
              <w:cnfStyle w:val="000000100000" w:firstRow="0" w:lastRow="0" w:firstColumn="0" w:lastColumn="0" w:oddVBand="0" w:evenVBand="0" w:oddHBand="1" w:evenHBand="0" w:firstRowFirstColumn="0" w:firstRowLastColumn="0" w:lastRowFirstColumn="0" w:lastRowLastColumn="0"/>
              <w:rPr>
                <w:rFonts w:ascii="Abadi Extra Light" w:eastAsia="Times New Roman" w:hAnsi="Abadi Extra Light" w:cs="Calibri"/>
                <w:color w:val="000000"/>
                <w:szCs w:val="18"/>
                <w:lang w:val="en-KE" w:eastAsia="en-KE"/>
              </w:rPr>
            </w:pPr>
            <w:r w:rsidRPr="00A059C1">
              <w:rPr>
                <w:rFonts w:ascii="Abadi Extra Light" w:eastAsia="Times New Roman" w:hAnsi="Abadi Extra Light" w:cs="Calibri"/>
                <w:color w:val="000000"/>
                <w:szCs w:val="18"/>
                <w:lang w:val="en-KE" w:eastAsia="en-KE"/>
              </w:rPr>
              <w:t> </w:t>
            </w:r>
          </w:p>
        </w:tc>
      </w:tr>
      <w:tr w:rsidR="002B20CA" w:rsidRPr="00A059C1" w14:paraId="5E4B3F3F" w14:textId="77777777" w:rsidTr="00AB07D3">
        <w:trPr>
          <w:trHeight w:val="281"/>
        </w:trPr>
        <w:tc>
          <w:tcPr>
            <w:cnfStyle w:val="001000000000" w:firstRow="0" w:lastRow="0" w:firstColumn="1" w:lastColumn="0" w:oddVBand="0" w:evenVBand="0" w:oddHBand="0" w:evenHBand="0" w:firstRowFirstColumn="0" w:firstRowLastColumn="0" w:lastRowFirstColumn="0" w:lastRowLastColumn="0"/>
            <w:tcW w:w="3039" w:type="dxa"/>
            <w:noWrap/>
            <w:hideMark/>
          </w:tcPr>
          <w:p w14:paraId="3D1AC365" w14:textId="77777777" w:rsidR="002B20CA" w:rsidRPr="00A059C1" w:rsidRDefault="002B20CA" w:rsidP="00373E9F">
            <w:pPr>
              <w:rPr>
                <w:rFonts w:ascii="Abadi Extra Light" w:eastAsia="Times New Roman" w:hAnsi="Abadi Extra Light" w:cs="Calibri"/>
                <w:b w:val="0"/>
                <w:bCs w:val="0"/>
                <w:color w:val="000000"/>
                <w:szCs w:val="18"/>
                <w:lang w:val="en-KE" w:eastAsia="en-KE"/>
              </w:rPr>
            </w:pPr>
            <w:r w:rsidRPr="00A059C1">
              <w:rPr>
                <w:rFonts w:ascii="Abadi Extra Light" w:eastAsia="Times New Roman" w:hAnsi="Abadi Extra Light" w:cs="Calibri"/>
                <w:b w:val="0"/>
                <w:bCs w:val="0"/>
                <w:color w:val="000000"/>
                <w:szCs w:val="18"/>
                <w:lang w:val="en-KE" w:eastAsia="en-KE"/>
              </w:rPr>
              <w:t>Approval by NA</w:t>
            </w:r>
          </w:p>
        </w:tc>
        <w:tc>
          <w:tcPr>
            <w:tcW w:w="2618" w:type="dxa"/>
            <w:noWrap/>
            <w:hideMark/>
          </w:tcPr>
          <w:p w14:paraId="46C6C871" w14:textId="77777777" w:rsidR="002B20CA" w:rsidRPr="00A059C1" w:rsidRDefault="002B20CA" w:rsidP="00373E9F">
            <w:pPr>
              <w:cnfStyle w:val="000000000000" w:firstRow="0" w:lastRow="0" w:firstColumn="0" w:lastColumn="0" w:oddVBand="0" w:evenVBand="0" w:oddHBand="0" w:evenHBand="0" w:firstRowFirstColumn="0" w:firstRowLastColumn="0" w:lastRowFirstColumn="0" w:lastRowLastColumn="0"/>
              <w:rPr>
                <w:rFonts w:ascii="Abadi Extra Light" w:eastAsia="Times New Roman" w:hAnsi="Abadi Extra Light" w:cs="Calibri"/>
                <w:color w:val="000000"/>
                <w:szCs w:val="18"/>
                <w:lang w:val="en-KE" w:eastAsia="en-KE"/>
              </w:rPr>
            </w:pPr>
            <w:r w:rsidRPr="00A059C1">
              <w:rPr>
                <w:rFonts w:ascii="Abadi Extra Light" w:eastAsia="Times New Roman" w:hAnsi="Abadi Extra Light" w:cs="Calibri"/>
                <w:color w:val="000000"/>
                <w:szCs w:val="18"/>
                <w:lang w:val="en-KE" w:eastAsia="en-KE"/>
              </w:rPr>
              <w:t>Parliament</w:t>
            </w:r>
          </w:p>
        </w:tc>
        <w:tc>
          <w:tcPr>
            <w:tcW w:w="2083" w:type="dxa"/>
            <w:noWrap/>
            <w:hideMark/>
          </w:tcPr>
          <w:p w14:paraId="53046D38" w14:textId="77777777" w:rsidR="002B20CA" w:rsidRPr="00A059C1" w:rsidRDefault="002B20CA" w:rsidP="00373E9F">
            <w:pPr>
              <w:cnfStyle w:val="000000000000" w:firstRow="0" w:lastRow="0" w:firstColumn="0" w:lastColumn="0" w:oddVBand="0" w:evenVBand="0" w:oddHBand="0" w:evenHBand="0" w:firstRowFirstColumn="0" w:firstRowLastColumn="0" w:lastRowFirstColumn="0" w:lastRowLastColumn="0"/>
              <w:rPr>
                <w:rFonts w:ascii="Abadi Extra Light" w:eastAsia="Times New Roman" w:hAnsi="Abadi Extra Light" w:cs="Calibri"/>
                <w:color w:val="000000"/>
                <w:szCs w:val="18"/>
                <w:lang w:val="en-KE" w:eastAsia="en-KE"/>
              </w:rPr>
            </w:pPr>
          </w:p>
        </w:tc>
        <w:tc>
          <w:tcPr>
            <w:tcW w:w="1402" w:type="dxa"/>
            <w:noWrap/>
            <w:hideMark/>
          </w:tcPr>
          <w:p w14:paraId="6BDED2D6" w14:textId="77777777" w:rsidR="002B20CA" w:rsidRPr="00A059C1" w:rsidRDefault="002B20CA" w:rsidP="00373E9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18"/>
                <w:lang w:val="en-KE" w:eastAsia="en-KE"/>
              </w:rPr>
            </w:pPr>
          </w:p>
        </w:tc>
      </w:tr>
      <w:tr w:rsidR="00AB07D3" w:rsidRPr="00B14357" w14:paraId="2023B2E1" w14:textId="77777777" w:rsidTr="00AB07D3">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039" w:type="dxa"/>
            <w:noWrap/>
            <w:hideMark/>
          </w:tcPr>
          <w:p w14:paraId="07C6361F" w14:textId="77777777" w:rsidR="002B20CA" w:rsidRPr="00A059C1" w:rsidRDefault="002B20CA" w:rsidP="00373E9F">
            <w:pPr>
              <w:rPr>
                <w:rFonts w:ascii="Franklin Gothic Demi" w:eastAsia="Times New Roman" w:hAnsi="Franklin Gothic Demi" w:cs="Calibri"/>
                <w:b w:val="0"/>
                <w:bCs w:val="0"/>
                <w:color w:val="000000"/>
                <w:szCs w:val="18"/>
                <w:lang w:val="en-KE" w:eastAsia="en-KE"/>
              </w:rPr>
            </w:pPr>
            <w:r w:rsidRPr="00A059C1">
              <w:rPr>
                <w:rFonts w:ascii="Franklin Gothic Demi" w:eastAsia="Times New Roman" w:hAnsi="Franklin Gothic Demi" w:cs="Calibri"/>
                <w:b w:val="0"/>
                <w:bCs w:val="0"/>
                <w:color w:val="000000"/>
                <w:szCs w:val="18"/>
                <w:lang w:val="en-KE" w:eastAsia="en-KE"/>
              </w:rPr>
              <w:t>Division of Revenue Bill</w:t>
            </w:r>
          </w:p>
        </w:tc>
        <w:tc>
          <w:tcPr>
            <w:tcW w:w="2618" w:type="dxa"/>
            <w:noWrap/>
            <w:hideMark/>
          </w:tcPr>
          <w:p w14:paraId="5A16FBC2" w14:textId="77777777" w:rsidR="002B20CA" w:rsidRPr="00A059C1" w:rsidRDefault="002B20CA" w:rsidP="00373E9F">
            <w:pPr>
              <w:cnfStyle w:val="000000100000" w:firstRow="0" w:lastRow="0" w:firstColumn="0" w:lastColumn="0" w:oddVBand="0" w:evenVBand="0" w:oddHBand="1" w:evenHBand="0" w:firstRowFirstColumn="0" w:firstRowLastColumn="0" w:lastRowFirstColumn="0" w:lastRowLastColumn="0"/>
              <w:rPr>
                <w:rFonts w:ascii="Franklin Gothic Demi" w:eastAsia="Times New Roman" w:hAnsi="Franklin Gothic Demi" w:cs="Calibri"/>
                <w:color w:val="000000"/>
                <w:szCs w:val="18"/>
                <w:lang w:val="en-KE" w:eastAsia="en-KE"/>
              </w:rPr>
            </w:pPr>
          </w:p>
        </w:tc>
        <w:tc>
          <w:tcPr>
            <w:tcW w:w="2083" w:type="dxa"/>
            <w:noWrap/>
            <w:hideMark/>
          </w:tcPr>
          <w:p w14:paraId="3EC519AB" w14:textId="77777777" w:rsidR="002B20CA" w:rsidRPr="00A059C1" w:rsidRDefault="002B20CA" w:rsidP="00373E9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18"/>
                <w:lang w:val="en-KE" w:eastAsia="en-KE"/>
              </w:rPr>
            </w:pPr>
          </w:p>
        </w:tc>
        <w:tc>
          <w:tcPr>
            <w:tcW w:w="1402" w:type="dxa"/>
            <w:noWrap/>
            <w:hideMark/>
          </w:tcPr>
          <w:p w14:paraId="2A7686F2" w14:textId="77777777" w:rsidR="002B20CA" w:rsidRPr="00A059C1" w:rsidRDefault="002B20CA" w:rsidP="00373E9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18"/>
                <w:lang w:val="en-KE" w:eastAsia="en-KE"/>
              </w:rPr>
            </w:pPr>
          </w:p>
        </w:tc>
      </w:tr>
      <w:tr w:rsidR="002B20CA" w:rsidRPr="00A059C1" w14:paraId="01B08DBF" w14:textId="77777777" w:rsidTr="00AB07D3">
        <w:trPr>
          <w:trHeight w:val="281"/>
        </w:trPr>
        <w:tc>
          <w:tcPr>
            <w:cnfStyle w:val="001000000000" w:firstRow="0" w:lastRow="0" w:firstColumn="1" w:lastColumn="0" w:oddVBand="0" w:evenVBand="0" w:oddHBand="0" w:evenHBand="0" w:firstRowFirstColumn="0" w:firstRowLastColumn="0" w:lastRowFirstColumn="0" w:lastRowLastColumn="0"/>
            <w:tcW w:w="3039" w:type="dxa"/>
            <w:noWrap/>
            <w:hideMark/>
          </w:tcPr>
          <w:p w14:paraId="149227B9" w14:textId="77777777" w:rsidR="002B20CA" w:rsidRPr="00A059C1" w:rsidRDefault="002B20CA" w:rsidP="00373E9F">
            <w:pPr>
              <w:rPr>
                <w:rFonts w:ascii="Abadi Extra Light" w:eastAsia="Times New Roman" w:hAnsi="Abadi Extra Light" w:cs="Calibri"/>
                <w:b w:val="0"/>
                <w:bCs w:val="0"/>
                <w:color w:val="000000"/>
                <w:szCs w:val="18"/>
                <w:lang w:val="en-KE" w:eastAsia="en-KE"/>
              </w:rPr>
            </w:pPr>
            <w:r w:rsidRPr="00A059C1">
              <w:rPr>
                <w:rFonts w:ascii="Abadi Extra Light" w:eastAsia="Times New Roman" w:hAnsi="Abadi Extra Light" w:cs="Calibri"/>
                <w:b w:val="0"/>
                <w:bCs w:val="0"/>
                <w:color w:val="000000"/>
                <w:szCs w:val="18"/>
                <w:lang w:val="en-KE" w:eastAsia="en-KE"/>
              </w:rPr>
              <w:t>Preparation and Submission to NA</w:t>
            </w:r>
          </w:p>
        </w:tc>
        <w:tc>
          <w:tcPr>
            <w:tcW w:w="2618" w:type="dxa"/>
            <w:noWrap/>
            <w:hideMark/>
          </w:tcPr>
          <w:p w14:paraId="460AB0B5" w14:textId="77777777" w:rsidR="002B20CA" w:rsidRPr="00A059C1" w:rsidRDefault="002B20CA" w:rsidP="00373E9F">
            <w:pPr>
              <w:cnfStyle w:val="000000000000" w:firstRow="0" w:lastRow="0" w:firstColumn="0" w:lastColumn="0" w:oddVBand="0" w:evenVBand="0" w:oddHBand="0" w:evenHBand="0" w:firstRowFirstColumn="0" w:firstRowLastColumn="0" w:lastRowFirstColumn="0" w:lastRowLastColumn="0"/>
              <w:rPr>
                <w:rFonts w:ascii="Abadi Extra Light" w:eastAsia="Times New Roman" w:hAnsi="Abadi Extra Light" w:cs="Calibri"/>
                <w:color w:val="000000"/>
                <w:szCs w:val="18"/>
                <w:lang w:val="en-KE" w:eastAsia="en-KE"/>
              </w:rPr>
            </w:pPr>
            <w:r w:rsidRPr="00A059C1">
              <w:rPr>
                <w:rFonts w:ascii="Abadi Extra Light" w:eastAsia="Times New Roman" w:hAnsi="Abadi Extra Light" w:cs="Calibri"/>
                <w:color w:val="000000"/>
                <w:szCs w:val="18"/>
                <w:lang w:val="en-KE" w:eastAsia="en-KE"/>
              </w:rPr>
              <w:t>CS Treasury &amp; Planning</w:t>
            </w:r>
          </w:p>
        </w:tc>
        <w:tc>
          <w:tcPr>
            <w:tcW w:w="2083" w:type="dxa"/>
            <w:noWrap/>
            <w:hideMark/>
          </w:tcPr>
          <w:p w14:paraId="2329FB0E" w14:textId="77777777" w:rsidR="002B20CA" w:rsidRPr="00A059C1" w:rsidRDefault="002B20CA" w:rsidP="00373E9F">
            <w:pPr>
              <w:cnfStyle w:val="000000000000" w:firstRow="0" w:lastRow="0" w:firstColumn="0" w:lastColumn="0" w:oddVBand="0" w:evenVBand="0" w:oddHBand="0" w:evenHBand="0" w:firstRowFirstColumn="0" w:firstRowLastColumn="0" w:lastRowFirstColumn="0" w:lastRowLastColumn="0"/>
              <w:rPr>
                <w:rFonts w:ascii="Abadi Extra Light" w:eastAsia="Times New Roman" w:hAnsi="Abadi Extra Light" w:cs="Calibri"/>
                <w:color w:val="000000"/>
                <w:szCs w:val="18"/>
                <w:lang w:val="en-KE" w:eastAsia="en-KE"/>
              </w:rPr>
            </w:pPr>
            <w:r w:rsidRPr="00A059C1">
              <w:rPr>
                <w:rFonts w:ascii="Abadi Extra Light" w:eastAsia="Times New Roman" w:hAnsi="Abadi Extra Light" w:cs="Calibri"/>
                <w:color w:val="000000"/>
                <w:szCs w:val="18"/>
                <w:lang w:val="en-KE" w:eastAsia="en-KE"/>
              </w:rPr>
              <w:t>30th Apr</w:t>
            </w:r>
          </w:p>
        </w:tc>
        <w:tc>
          <w:tcPr>
            <w:tcW w:w="1402" w:type="dxa"/>
            <w:noWrap/>
            <w:hideMark/>
          </w:tcPr>
          <w:p w14:paraId="1C90FFC3" w14:textId="77777777" w:rsidR="002B20CA" w:rsidRPr="00A059C1" w:rsidRDefault="002B20CA" w:rsidP="00373E9F">
            <w:pPr>
              <w:cnfStyle w:val="000000000000" w:firstRow="0" w:lastRow="0" w:firstColumn="0" w:lastColumn="0" w:oddVBand="0" w:evenVBand="0" w:oddHBand="0" w:evenHBand="0" w:firstRowFirstColumn="0" w:firstRowLastColumn="0" w:lastRowFirstColumn="0" w:lastRowLastColumn="0"/>
              <w:rPr>
                <w:rFonts w:ascii="Abadi Extra Light" w:eastAsia="Times New Roman" w:hAnsi="Abadi Extra Light" w:cs="Calibri"/>
                <w:color w:val="000000"/>
                <w:szCs w:val="18"/>
                <w:lang w:val="en-KE" w:eastAsia="en-KE"/>
              </w:rPr>
            </w:pPr>
          </w:p>
        </w:tc>
      </w:tr>
      <w:tr w:rsidR="00AB07D3" w:rsidRPr="00B14357" w14:paraId="4D74E83A" w14:textId="77777777" w:rsidTr="00AB07D3">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039" w:type="dxa"/>
            <w:noWrap/>
            <w:hideMark/>
          </w:tcPr>
          <w:p w14:paraId="6D3A8AD0" w14:textId="77777777" w:rsidR="002B20CA" w:rsidRPr="00A059C1" w:rsidRDefault="002B20CA" w:rsidP="00373E9F">
            <w:pPr>
              <w:rPr>
                <w:rFonts w:ascii="Abadi Extra Light" w:eastAsia="Times New Roman" w:hAnsi="Abadi Extra Light" w:cs="Calibri"/>
                <w:b w:val="0"/>
                <w:bCs w:val="0"/>
                <w:color w:val="000000"/>
                <w:szCs w:val="18"/>
                <w:lang w:val="en-KE" w:eastAsia="en-KE"/>
              </w:rPr>
            </w:pPr>
            <w:r w:rsidRPr="00A059C1">
              <w:rPr>
                <w:rFonts w:ascii="Abadi Extra Light" w:eastAsia="Times New Roman" w:hAnsi="Abadi Extra Light" w:cs="Calibri"/>
                <w:b w:val="0"/>
                <w:bCs w:val="0"/>
                <w:color w:val="000000"/>
                <w:szCs w:val="18"/>
                <w:lang w:val="en-KE" w:eastAsia="en-KE"/>
              </w:rPr>
              <w:t>Approval by NA</w:t>
            </w:r>
          </w:p>
        </w:tc>
        <w:tc>
          <w:tcPr>
            <w:tcW w:w="2618" w:type="dxa"/>
            <w:noWrap/>
            <w:hideMark/>
          </w:tcPr>
          <w:p w14:paraId="79EC30C4" w14:textId="77777777" w:rsidR="002B20CA" w:rsidRPr="00A059C1" w:rsidRDefault="002B20CA" w:rsidP="00373E9F">
            <w:pPr>
              <w:cnfStyle w:val="000000100000" w:firstRow="0" w:lastRow="0" w:firstColumn="0" w:lastColumn="0" w:oddVBand="0" w:evenVBand="0" w:oddHBand="1" w:evenHBand="0" w:firstRowFirstColumn="0" w:firstRowLastColumn="0" w:lastRowFirstColumn="0" w:lastRowLastColumn="0"/>
              <w:rPr>
                <w:rFonts w:ascii="Abadi Extra Light" w:eastAsia="Times New Roman" w:hAnsi="Abadi Extra Light" w:cs="Calibri"/>
                <w:color w:val="000000"/>
                <w:szCs w:val="18"/>
                <w:lang w:val="en-KE" w:eastAsia="en-KE"/>
              </w:rPr>
            </w:pPr>
            <w:r w:rsidRPr="00A059C1">
              <w:rPr>
                <w:rFonts w:ascii="Abadi Extra Light" w:eastAsia="Times New Roman" w:hAnsi="Abadi Extra Light" w:cs="Calibri"/>
                <w:color w:val="000000"/>
                <w:szCs w:val="18"/>
                <w:lang w:val="en-KE" w:eastAsia="en-KE"/>
              </w:rPr>
              <w:t>Parliament</w:t>
            </w:r>
          </w:p>
        </w:tc>
        <w:tc>
          <w:tcPr>
            <w:tcW w:w="2083" w:type="dxa"/>
            <w:noWrap/>
            <w:hideMark/>
          </w:tcPr>
          <w:p w14:paraId="7517D300" w14:textId="77777777" w:rsidR="002B20CA" w:rsidRPr="00A059C1" w:rsidRDefault="002B20CA" w:rsidP="00373E9F">
            <w:pPr>
              <w:cnfStyle w:val="000000100000" w:firstRow="0" w:lastRow="0" w:firstColumn="0" w:lastColumn="0" w:oddVBand="0" w:evenVBand="0" w:oddHBand="1" w:evenHBand="0" w:firstRowFirstColumn="0" w:firstRowLastColumn="0" w:lastRowFirstColumn="0" w:lastRowLastColumn="0"/>
              <w:rPr>
                <w:rFonts w:ascii="Abadi Extra Light" w:eastAsia="Times New Roman" w:hAnsi="Abadi Extra Light" w:cs="Calibri"/>
                <w:color w:val="000000"/>
                <w:szCs w:val="18"/>
                <w:lang w:val="en-KE" w:eastAsia="en-KE"/>
              </w:rPr>
            </w:pPr>
            <w:r w:rsidRPr="00A059C1">
              <w:rPr>
                <w:rFonts w:ascii="Abadi Extra Light" w:eastAsia="Times New Roman" w:hAnsi="Abadi Extra Light" w:cs="Calibri"/>
                <w:color w:val="000000"/>
                <w:szCs w:val="18"/>
                <w:lang w:val="en-KE" w:eastAsia="en-KE"/>
              </w:rPr>
              <w:t>30th May</w:t>
            </w:r>
          </w:p>
        </w:tc>
        <w:tc>
          <w:tcPr>
            <w:tcW w:w="1402" w:type="dxa"/>
            <w:noWrap/>
            <w:hideMark/>
          </w:tcPr>
          <w:p w14:paraId="2E069452" w14:textId="77777777" w:rsidR="002B20CA" w:rsidRPr="00A059C1" w:rsidRDefault="002B20CA" w:rsidP="00373E9F">
            <w:pPr>
              <w:cnfStyle w:val="000000100000" w:firstRow="0" w:lastRow="0" w:firstColumn="0" w:lastColumn="0" w:oddVBand="0" w:evenVBand="0" w:oddHBand="1" w:evenHBand="0" w:firstRowFirstColumn="0" w:firstRowLastColumn="0" w:lastRowFirstColumn="0" w:lastRowLastColumn="0"/>
              <w:rPr>
                <w:rFonts w:ascii="Abadi Extra Light" w:eastAsia="Times New Roman" w:hAnsi="Abadi Extra Light" w:cs="Calibri"/>
                <w:color w:val="000000"/>
                <w:szCs w:val="18"/>
                <w:lang w:val="en-KE" w:eastAsia="en-KE"/>
              </w:rPr>
            </w:pPr>
          </w:p>
        </w:tc>
      </w:tr>
      <w:tr w:rsidR="002B20CA" w:rsidRPr="00A059C1" w14:paraId="0050B850" w14:textId="77777777" w:rsidTr="00AB07D3">
        <w:trPr>
          <w:trHeight w:val="301"/>
        </w:trPr>
        <w:tc>
          <w:tcPr>
            <w:cnfStyle w:val="001000000000" w:firstRow="0" w:lastRow="0" w:firstColumn="1" w:lastColumn="0" w:oddVBand="0" w:evenVBand="0" w:oddHBand="0" w:evenHBand="0" w:firstRowFirstColumn="0" w:firstRowLastColumn="0" w:lastRowFirstColumn="0" w:lastRowLastColumn="0"/>
            <w:tcW w:w="3039" w:type="dxa"/>
            <w:noWrap/>
            <w:hideMark/>
          </w:tcPr>
          <w:p w14:paraId="18FDDC21" w14:textId="77777777" w:rsidR="002B20CA" w:rsidRPr="00A059C1" w:rsidRDefault="002B20CA" w:rsidP="00373E9F">
            <w:pPr>
              <w:rPr>
                <w:rFonts w:ascii="Franklin Gothic Demi" w:eastAsia="Times New Roman" w:hAnsi="Franklin Gothic Demi" w:cs="Calibri"/>
                <w:b w:val="0"/>
                <w:bCs w:val="0"/>
                <w:color w:val="000000"/>
                <w:szCs w:val="18"/>
                <w:lang w:val="en-KE" w:eastAsia="en-KE"/>
              </w:rPr>
            </w:pPr>
            <w:r w:rsidRPr="00A059C1">
              <w:rPr>
                <w:rFonts w:ascii="Franklin Gothic Demi" w:eastAsia="Times New Roman" w:hAnsi="Franklin Gothic Demi" w:cs="Calibri"/>
                <w:b w:val="0"/>
                <w:bCs w:val="0"/>
                <w:color w:val="000000"/>
                <w:szCs w:val="18"/>
                <w:lang w:val="en-KE" w:eastAsia="en-KE"/>
              </w:rPr>
              <w:t>Appropriations Bill</w:t>
            </w:r>
          </w:p>
        </w:tc>
        <w:tc>
          <w:tcPr>
            <w:tcW w:w="2618" w:type="dxa"/>
            <w:noWrap/>
            <w:hideMark/>
          </w:tcPr>
          <w:p w14:paraId="5DF29668" w14:textId="77777777" w:rsidR="002B20CA" w:rsidRPr="00A059C1" w:rsidRDefault="002B20CA" w:rsidP="00373E9F">
            <w:pPr>
              <w:cnfStyle w:val="000000000000" w:firstRow="0" w:lastRow="0" w:firstColumn="0" w:lastColumn="0" w:oddVBand="0" w:evenVBand="0" w:oddHBand="0" w:evenHBand="0" w:firstRowFirstColumn="0" w:firstRowLastColumn="0" w:lastRowFirstColumn="0" w:lastRowLastColumn="0"/>
              <w:rPr>
                <w:rFonts w:ascii="Franklin Gothic Demi" w:eastAsia="Times New Roman" w:hAnsi="Franklin Gothic Demi" w:cs="Calibri"/>
                <w:color w:val="000000"/>
                <w:szCs w:val="18"/>
                <w:lang w:val="en-KE" w:eastAsia="en-KE"/>
              </w:rPr>
            </w:pPr>
          </w:p>
        </w:tc>
        <w:tc>
          <w:tcPr>
            <w:tcW w:w="2083" w:type="dxa"/>
            <w:noWrap/>
            <w:hideMark/>
          </w:tcPr>
          <w:p w14:paraId="3E810B5E" w14:textId="77777777" w:rsidR="002B20CA" w:rsidRPr="00A059C1" w:rsidRDefault="002B20CA" w:rsidP="00373E9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18"/>
                <w:lang w:val="en-KE" w:eastAsia="en-KE"/>
              </w:rPr>
            </w:pPr>
          </w:p>
        </w:tc>
        <w:tc>
          <w:tcPr>
            <w:tcW w:w="1402" w:type="dxa"/>
            <w:noWrap/>
            <w:hideMark/>
          </w:tcPr>
          <w:p w14:paraId="779DEB17" w14:textId="77777777" w:rsidR="002B20CA" w:rsidRPr="00A059C1" w:rsidRDefault="002B20CA" w:rsidP="00373E9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18"/>
                <w:lang w:val="en-KE" w:eastAsia="en-KE"/>
              </w:rPr>
            </w:pPr>
          </w:p>
        </w:tc>
      </w:tr>
      <w:tr w:rsidR="00AB07D3" w:rsidRPr="00B14357" w14:paraId="33B800AB" w14:textId="77777777" w:rsidTr="00AB07D3">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039" w:type="dxa"/>
            <w:noWrap/>
            <w:hideMark/>
          </w:tcPr>
          <w:p w14:paraId="33BB785B" w14:textId="77777777" w:rsidR="002B20CA" w:rsidRPr="00A059C1" w:rsidRDefault="002B20CA" w:rsidP="00373E9F">
            <w:pPr>
              <w:rPr>
                <w:rFonts w:ascii="Abadi Extra Light" w:eastAsia="Times New Roman" w:hAnsi="Abadi Extra Light" w:cs="Calibri"/>
                <w:b w:val="0"/>
                <w:bCs w:val="0"/>
                <w:color w:val="000000"/>
                <w:szCs w:val="18"/>
                <w:lang w:val="en-KE" w:eastAsia="en-KE"/>
              </w:rPr>
            </w:pPr>
            <w:r w:rsidRPr="00A059C1">
              <w:rPr>
                <w:rFonts w:ascii="Abadi Extra Light" w:eastAsia="Times New Roman" w:hAnsi="Abadi Extra Light" w:cs="Calibri"/>
                <w:b w:val="0"/>
                <w:bCs w:val="0"/>
                <w:color w:val="000000"/>
                <w:szCs w:val="18"/>
                <w:lang w:val="en-KE" w:eastAsia="en-KE"/>
              </w:rPr>
              <w:t>Preparation and Submission to NA</w:t>
            </w:r>
          </w:p>
        </w:tc>
        <w:tc>
          <w:tcPr>
            <w:tcW w:w="2618" w:type="dxa"/>
            <w:noWrap/>
            <w:hideMark/>
          </w:tcPr>
          <w:p w14:paraId="3A0503BE" w14:textId="77777777" w:rsidR="002B20CA" w:rsidRPr="00A059C1" w:rsidRDefault="002B20CA" w:rsidP="00373E9F">
            <w:pPr>
              <w:cnfStyle w:val="000000100000" w:firstRow="0" w:lastRow="0" w:firstColumn="0" w:lastColumn="0" w:oddVBand="0" w:evenVBand="0" w:oddHBand="1" w:evenHBand="0" w:firstRowFirstColumn="0" w:firstRowLastColumn="0" w:lastRowFirstColumn="0" w:lastRowLastColumn="0"/>
              <w:rPr>
                <w:rFonts w:ascii="Abadi Extra Light" w:eastAsia="Times New Roman" w:hAnsi="Abadi Extra Light" w:cs="Calibri"/>
                <w:color w:val="000000"/>
                <w:szCs w:val="18"/>
                <w:lang w:val="en-KE" w:eastAsia="en-KE"/>
              </w:rPr>
            </w:pPr>
            <w:r w:rsidRPr="00A059C1">
              <w:rPr>
                <w:rFonts w:ascii="Abadi Extra Light" w:eastAsia="Times New Roman" w:hAnsi="Abadi Extra Light" w:cs="Calibri"/>
                <w:color w:val="000000"/>
                <w:szCs w:val="18"/>
                <w:lang w:val="en-KE" w:eastAsia="en-KE"/>
              </w:rPr>
              <w:t>CS Treasury &amp; Planning</w:t>
            </w:r>
          </w:p>
        </w:tc>
        <w:tc>
          <w:tcPr>
            <w:tcW w:w="2083" w:type="dxa"/>
            <w:noWrap/>
            <w:hideMark/>
          </w:tcPr>
          <w:p w14:paraId="6D6D593A" w14:textId="77777777" w:rsidR="002B20CA" w:rsidRPr="00A059C1" w:rsidRDefault="002B20CA" w:rsidP="00373E9F">
            <w:pPr>
              <w:cnfStyle w:val="000000100000" w:firstRow="0" w:lastRow="0" w:firstColumn="0" w:lastColumn="0" w:oddVBand="0" w:evenVBand="0" w:oddHBand="1" w:evenHBand="0" w:firstRowFirstColumn="0" w:firstRowLastColumn="0" w:lastRowFirstColumn="0" w:lastRowLastColumn="0"/>
              <w:rPr>
                <w:rFonts w:ascii="Abadi Extra Light" w:eastAsia="Times New Roman" w:hAnsi="Abadi Extra Light" w:cs="Calibri"/>
                <w:color w:val="000000"/>
                <w:szCs w:val="18"/>
                <w:lang w:val="en-KE" w:eastAsia="en-KE"/>
              </w:rPr>
            </w:pPr>
            <w:r w:rsidRPr="00A059C1">
              <w:rPr>
                <w:rFonts w:ascii="Abadi Extra Light" w:eastAsia="Times New Roman" w:hAnsi="Abadi Extra Light" w:cs="Calibri"/>
                <w:color w:val="000000"/>
                <w:szCs w:val="18"/>
                <w:lang w:val="en-KE" w:eastAsia="en-KE"/>
              </w:rPr>
              <w:t>15th May</w:t>
            </w:r>
          </w:p>
        </w:tc>
        <w:tc>
          <w:tcPr>
            <w:tcW w:w="1402" w:type="dxa"/>
            <w:noWrap/>
            <w:hideMark/>
          </w:tcPr>
          <w:p w14:paraId="1704F1AC" w14:textId="77777777" w:rsidR="002B20CA" w:rsidRPr="00A059C1" w:rsidRDefault="002B20CA" w:rsidP="00373E9F">
            <w:pPr>
              <w:cnfStyle w:val="000000100000" w:firstRow="0" w:lastRow="0" w:firstColumn="0" w:lastColumn="0" w:oddVBand="0" w:evenVBand="0" w:oddHBand="1" w:evenHBand="0" w:firstRowFirstColumn="0" w:firstRowLastColumn="0" w:lastRowFirstColumn="0" w:lastRowLastColumn="0"/>
              <w:rPr>
                <w:rFonts w:ascii="Abadi Extra Light" w:eastAsia="Times New Roman" w:hAnsi="Abadi Extra Light" w:cs="Calibri"/>
                <w:color w:val="000000"/>
                <w:szCs w:val="18"/>
                <w:lang w:val="en-KE" w:eastAsia="en-KE"/>
              </w:rPr>
            </w:pPr>
          </w:p>
        </w:tc>
      </w:tr>
      <w:tr w:rsidR="002B20CA" w:rsidRPr="00A059C1" w14:paraId="537D1A9B" w14:textId="77777777" w:rsidTr="00AB07D3">
        <w:trPr>
          <w:trHeight w:val="281"/>
        </w:trPr>
        <w:tc>
          <w:tcPr>
            <w:cnfStyle w:val="001000000000" w:firstRow="0" w:lastRow="0" w:firstColumn="1" w:lastColumn="0" w:oddVBand="0" w:evenVBand="0" w:oddHBand="0" w:evenHBand="0" w:firstRowFirstColumn="0" w:firstRowLastColumn="0" w:lastRowFirstColumn="0" w:lastRowLastColumn="0"/>
            <w:tcW w:w="3039" w:type="dxa"/>
            <w:noWrap/>
            <w:hideMark/>
          </w:tcPr>
          <w:p w14:paraId="34FE67E7" w14:textId="77777777" w:rsidR="002B20CA" w:rsidRPr="00A059C1" w:rsidRDefault="002B20CA" w:rsidP="00373E9F">
            <w:pPr>
              <w:rPr>
                <w:rFonts w:ascii="Abadi Extra Light" w:eastAsia="Times New Roman" w:hAnsi="Abadi Extra Light" w:cs="Calibri"/>
                <w:b w:val="0"/>
                <w:bCs w:val="0"/>
                <w:color w:val="000000"/>
                <w:szCs w:val="18"/>
                <w:lang w:val="en-KE" w:eastAsia="en-KE"/>
              </w:rPr>
            </w:pPr>
            <w:r w:rsidRPr="00A059C1">
              <w:rPr>
                <w:rFonts w:ascii="Abadi Extra Light" w:eastAsia="Times New Roman" w:hAnsi="Abadi Extra Light" w:cs="Calibri"/>
                <w:b w:val="0"/>
                <w:bCs w:val="0"/>
                <w:color w:val="000000"/>
                <w:szCs w:val="18"/>
                <w:lang w:val="en-KE" w:eastAsia="en-KE"/>
              </w:rPr>
              <w:t>Approval by NA</w:t>
            </w:r>
          </w:p>
        </w:tc>
        <w:tc>
          <w:tcPr>
            <w:tcW w:w="2618" w:type="dxa"/>
            <w:noWrap/>
            <w:hideMark/>
          </w:tcPr>
          <w:p w14:paraId="1EE4E335" w14:textId="77777777" w:rsidR="002B20CA" w:rsidRPr="00A059C1" w:rsidRDefault="002B20CA" w:rsidP="00373E9F">
            <w:pPr>
              <w:cnfStyle w:val="000000000000" w:firstRow="0" w:lastRow="0" w:firstColumn="0" w:lastColumn="0" w:oddVBand="0" w:evenVBand="0" w:oddHBand="0" w:evenHBand="0" w:firstRowFirstColumn="0" w:firstRowLastColumn="0" w:lastRowFirstColumn="0" w:lastRowLastColumn="0"/>
              <w:rPr>
                <w:rFonts w:ascii="Abadi Extra Light" w:eastAsia="Times New Roman" w:hAnsi="Abadi Extra Light" w:cs="Calibri"/>
                <w:color w:val="000000"/>
                <w:szCs w:val="18"/>
                <w:lang w:val="en-KE" w:eastAsia="en-KE"/>
              </w:rPr>
            </w:pPr>
            <w:r w:rsidRPr="00A059C1">
              <w:rPr>
                <w:rFonts w:ascii="Abadi Extra Light" w:eastAsia="Times New Roman" w:hAnsi="Abadi Extra Light" w:cs="Calibri"/>
                <w:color w:val="000000"/>
                <w:szCs w:val="18"/>
                <w:lang w:val="en-KE" w:eastAsia="en-KE"/>
              </w:rPr>
              <w:t>Parliament</w:t>
            </w:r>
          </w:p>
        </w:tc>
        <w:tc>
          <w:tcPr>
            <w:tcW w:w="2083" w:type="dxa"/>
            <w:noWrap/>
            <w:hideMark/>
          </w:tcPr>
          <w:p w14:paraId="4DED3D5F" w14:textId="77777777" w:rsidR="002B20CA" w:rsidRPr="00A059C1" w:rsidRDefault="002B20CA" w:rsidP="00373E9F">
            <w:pPr>
              <w:cnfStyle w:val="000000000000" w:firstRow="0" w:lastRow="0" w:firstColumn="0" w:lastColumn="0" w:oddVBand="0" w:evenVBand="0" w:oddHBand="0" w:evenHBand="0" w:firstRowFirstColumn="0" w:firstRowLastColumn="0" w:lastRowFirstColumn="0" w:lastRowLastColumn="0"/>
              <w:rPr>
                <w:rFonts w:ascii="Abadi Extra Light" w:eastAsia="Times New Roman" w:hAnsi="Abadi Extra Light" w:cs="Calibri"/>
                <w:color w:val="000000"/>
                <w:szCs w:val="18"/>
                <w:lang w:val="en-KE" w:eastAsia="en-KE"/>
              </w:rPr>
            </w:pPr>
            <w:r w:rsidRPr="00A059C1">
              <w:rPr>
                <w:rFonts w:ascii="Abadi Extra Light" w:eastAsia="Times New Roman" w:hAnsi="Abadi Extra Light" w:cs="Calibri"/>
                <w:color w:val="000000"/>
                <w:szCs w:val="18"/>
                <w:lang w:val="en-KE" w:eastAsia="en-KE"/>
              </w:rPr>
              <w:t>30th June</w:t>
            </w:r>
          </w:p>
        </w:tc>
        <w:tc>
          <w:tcPr>
            <w:tcW w:w="1402" w:type="dxa"/>
            <w:noWrap/>
            <w:hideMark/>
          </w:tcPr>
          <w:p w14:paraId="21584C8A" w14:textId="77777777" w:rsidR="002B20CA" w:rsidRPr="00A059C1" w:rsidRDefault="002B20CA" w:rsidP="00373E9F">
            <w:pPr>
              <w:cnfStyle w:val="000000000000" w:firstRow="0" w:lastRow="0" w:firstColumn="0" w:lastColumn="0" w:oddVBand="0" w:evenVBand="0" w:oddHBand="0" w:evenHBand="0" w:firstRowFirstColumn="0" w:firstRowLastColumn="0" w:lastRowFirstColumn="0" w:lastRowLastColumn="0"/>
              <w:rPr>
                <w:rFonts w:ascii="Abadi Extra Light" w:eastAsia="Times New Roman" w:hAnsi="Abadi Extra Light" w:cs="Calibri"/>
                <w:color w:val="000000"/>
                <w:szCs w:val="18"/>
                <w:lang w:val="en-KE" w:eastAsia="en-KE"/>
              </w:rPr>
            </w:pPr>
          </w:p>
        </w:tc>
      </w:tr>
      <w:tr w:rsidR="00AB07D3" w:rsidRPr="00B14357" w14:paraId="62A9AF67" w14:textId="77777777" w:rsidTr="00AB07D3">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3039" w:type="dxa"/>
            <w:noWrap/>
            <w:hideMark/>
          </w:tcPr>
          <w:p w14:paraId="0172894C" w14:textId="77777777" w:rsidR="002B20CA" w:rsidRPr="00A059C1" w:rsidRDefault="002B20CA" w:rsidP="00373E9F">
            <w:pPr>
              <w:rPr>
                <w:rFonts w:ascii="Abadi Extra Light" w:eastAsia="Times New Roman" w:hAnsi="Abadi Extra Light" w:cs="Calibri"/>
                <w:b w:val="0"/>
                <w:bCs w:val="0"/>
                <w:color w:val="000000"/>
                <w:szCs w:val="18"/>
                <w:lang w:val="en-KE" w:eastAsia="en-KE"/>
              </w:rPr>
            </w:pPr>
            <w:r w:rsidRPr="00A059C1">
              <w:rPr>
                <w:rFonts w:ascii="Abadi Extra Light" w:eastAsia="Times New Roman" w:hAnsi="Abadi Extra Light" w:cs="Calibri"/>
                <w:b w:val="0"/>
                <w:bCs w:val="0"/>
                <w:color w:val="000000"/>
                <w:szCs w:val="18"/>
                <w:lang w:val="en-KE" w:eastAsia="en-KE"/>
              </w:rPr>
              <w:t>Publicize</w:t>
            </w:r>
          </w:p>
        </w:tc>
        <w:tc>
          <w:tcPr>
            <w:tcW w:w="2618" w:type="dxa"/>
            <w:hideMark/>
          </w:tcPr>
          <w:p w14:paraId="2209EC0C" w14:textId="77777777" w:rsidR="002B20CA" w:rsidRPr="00A059C1" w:rsidRDefault="002B20CA" w:rsidP="00373E9F">
            <w:pPr>
              <w:cnfStyle w:val="000000100000" w:firstRow="0" w:lastRow="0" w:firstColumn="0" w:lastColumn="0" w:oddVBand="0" w:evenVBand="0" w:oddHBand="1" w:evenHBand="0" w:firstRowFirstColumn="0" w:firstRowLastColumn="0" w:lastRowFirstColumn="0" w:lastRowLastColumn="0"/>
              <w:rPr>
                <w:rFonts w:ascii="Abadi Extra Light" w:eastAsia="Times New Roman" w:hAnsi="Abadi Extra Light" w:cs="Calibri"/>
                <w:color w:val="000000"/>
                <w:szCs w:val="18"/>
                <w:lang w:val="en-KE" w:eastAsia="en-KE"/>
              </w:rPr>
            </w:pPr>
            <w:r w:rsidRPr="00A059C1">
              <w:rPr>
                <w:rFonts w:ascii="Abadi Extra Light" w:eastAsia="Times New Roman" w:hAnsi="Abadi Extra Light" w:cs="Calibri"/>
                <w:color w:val="000000"/>
                <w:szCs w:val="18"/>
                <w:lang w:val="en-KE" w:eastAsia="en-KE"/>
              </w:rPr>
              <w:t xml:space="preserve">CS Treasury &amp; Planning; </w:t>
            </w:r>
            <w:r w:rsidRPr="00A059C1">
              <w:rPr>
                <w:rFonts w:ascii="Abadi Extra Light" w:eastAsia="Times New Roman" w:hAnsi="Abadi Extra Light" w:cs="Calibri"/>
                <w:color w:val="000000"/>
                <w:szCs w:val="18"/>
                <w:lang w:val="en-KE" w:eastAsia="en-KE"/>
              </w:rPr>
              <w:br/>
              <w:t>OCOB</w:t>
            </w:r>
          </w:p>
        </w:tc>
        <w:tc>
          <w:tcPr>
            <w:tcW w:w="2083" w:type="dxa"/>
            <w:noWrap/>
            <w:hideMark/>
          </w:tcPr>
          <w:p w14:paraId="71B14E1E" w14:textId="77777777" w:rsidR="002B20CA" w:rsidRPr="00A059C1" w:rsidRDefault="002B20CA" w:rsidP="00373E9F">
            <w:pPr>
              <w:cnfStyle w:val="000000100000" w:firstRow="0" w:lastRow="0" w:firstColumn="0" w:lastColumn="0" w:oddVBand="0" w:evenVBand="0" w:oddHBand="1" w:evenHBand="0" w:firstRowFirstColumn="0" w:firstRowLastColumn="0" w:lastRowFirstColumn="0" w:lastRowLastColumn="0"/>
              <w:rPr>
                <w:rFonts w:ascii="Abadi Extra Light" w:eastAsia="Times New Roman" w:hAnsi="Abadi Extra Light" w:cs="Calibri"/>
                <w:color w:val="000000"/>
                <w:szCs w:val="18"/>
                <w:lang w:val="en-KE" w:eastAsia="en-KE"/>
              </w:rPr>
            </w:pPr>
            <w:r w:rsidRPr="00A059C1">
              <w:rPr>
                <w:rFonts w:ascii="Abadi Extra Light" w:eastAsia="Times New Roman" w:hAnsi="Abadi Extra Light" w:cs="Calibri"/>
                <w:color w:val="000000"/>
                <w:szCs w:val="18"/>
                <w:lang w:val="en-KE" w:eastAsia="en-KE"/>
              </w:rPr>
              <w:t>By 21st July</w:t>
            </w:r>
          </w:p>
        </w:tc>
        <w:tc>
          <w:tcPr>
            <w:tcW w:w="1402" w:type="dxa"/>
            <w:shd w:val="clear" w:color="auto" w:fill="C00000"/>
            <w:noWrap/>
            <w:hideMark/>
          </w:tcPr>
          <w:p w14:paraId="3A0EBE5C" w14:textId="77777777" w:rsidR="002B20CA" w:rsidRPr="00A059C1" w:rsidRDefault="002B20CA" w:rsidP="00373E9F">
            <w:pPr>
              <w:cnfStyle w:val="000000100000" w:firstRow="0" w:lastRow="0" w:firstColumn="0" w:lastColumn="0" w:oddVBand="0" w:evenVBand="0" w:oddHBand="1" w:evenHBand="0" w:firstRowFirstColumn="0" w:firstRowLastColumn="0" w:lastRowFirstColumn="0" w:lastRowLastColumn="0"/>
              <w:rPr>
                <w:rFonts w:ascii="Abadi Extra Light" w:eastAsia="Times New Roman" w:hAnsi="Abadi Extra Light" w:cs="Calibri"/>
                <w:color w:val="000000"/>
                <w:szCs w:val="18"/>
                <w:lang w:val="en-KE" w:eastAsia="en-KE"/>
              </w:rPr>
            </w:pPr>
            <w:r w:rsidRPr="00A059C1">
              <w:rPr>
                <w:rFonts w:ascii="Abadi Extra Light" w:eastAsia="Times New Roman" w:hAnsi="Abadi Extra Light" w:cs="Calibri"/>
                <w:color w:val="000000"/>
                <w:szCs w:val="18"/>
                <w:lang w:val="en-KE" w:eastAsia="en-KE"/>
              </w:rPr>
              <w:t> </w:t>
            </w:r>
          </w:p>
        </w:tc>
      </w:tr>
      <w:tr w:rsidR="00AB07D3" w:rsidRPr="00A059C1" w14:paraId="0C0C0A1B" w14:textId="77777777" w:rsidTr="00AB07D3">
        <w:trPr>
          <w:trHeight w:val="301"/>
        </w:trPr>
        <w:tc>
          <w:tcPr>
            <w:cnfStyle w:val="001000000000" w:firstRow="0" w:lastRow="0" w:firstColumn="1" w:lastColumn="0" w:oddVBand="0" w:evenVBand="0" w:oddHBand="0" w:evenHBand="0" w:firstRowFirstColumn="0" w:firstRowLastColumn="0" w:lastRowFirstColumn="0" w:lastRowLastColumn="0"/>
            <w:tcW w:w="3039" w:type="dxa"/>
            <w:shd w:val="clear" w:color="auto" w:fill="8ACC8E"/>
            <w:noWrap/>
            <w:hideMark/>
          </w:tcPr>
          <w:p w14:paraId="22BAF669" w14:textId="77777777" w:rsidR="002B20CA" w:rsidRPr="00A059C1" w:rsidRDefault="002B20CA" w:rsidP="00373E9F">
            <w:pPr>
              <w:rPr>
                <w:rFonts w:ascii="Franklin Gothic Demi" w:eastAsia="Times New Roman" w:hAnsi="Franklin Gothic Demi" w:cs="Calibri"/>
                <w:b w:val="0"/>
                <w:bCs w:val="0"/>
                <w:color w:val="000000"/>
                <w:szCs w:val="18"/>
                <w:lang w:val="en-KE" w:eastAsia="en-KE"/>
              </w:rPr>
            </w:pPr>
            <w:r w:rsidRPr="00A059C1">
              <w:rPr>
                <w:rFonts w:ascii="Franklin Gothic Demi" w:eastAsia="Times New Roman" w:hAnsi="Franklin Gothic Demi" w:cs="Calibri"/>
                <w:b w:val="0"/>
                <w:bCs w:val="0"/>
                <w:color w:val="000000"/>
                <w:szCs w:val="18"/>
                <w:lang w:val="en-KE" w:eastAsia="en-KE"/>
              </w:rPr>
              <w:t>Budget Circular</w:t>
            </w:r>
          </w:p>
        </w:tc>
        <w:tc>
          <w:tcPr>
            <w:tcW w:w="2618" w:type="dxa"/>
            <w:shd w:val="clear" w:color="auto" w:fill="8ACC8E"/>
            <w:noWrap/>
            <w:hideMark/>
          </w:tcPr>
          <w:p w14:paraId="798BD483" w14:textId="77777777" w:rsidR="002B20CA" w:rsidRPr="00A059C1" w:rsidRDefault="002B20CA" w:rsidP="00373E9F">
            <w:pPr>
              <w:cnfStyle w:val="000000000000" w:firstRow="0" w:lastRow="0" w:firstColumn="0" w:lastColumn="0" w:oddVBand="0" w:evenVBand="0" w:oddHBand="0" w:evenHBand="0" w:firstRowFirstColumn="0" w:firstRowLastColumn="0" w:lastRowFirstColumn="0" w:lastRowLastColumn="0"/>
              <w:rPr>
                <w:rFonts w:ascii="Abadi Extra Light" w:eastAsia="Times New Roman" w:hAnsi="Abadi Extra Light" w:cs="Calibri"/>
                <w:color w:val="000000"/>
                <w:szCs w:val="18"/>
                <w:lang w:val="en-KE" w:eastAsia="en-KE"/>
              </w:rPr>
            </w:pPr>
            <w:r w:rsidRPr="00A059C1">
              <w:rPr>
                <w:rFonts w:ascii="Abadi Extra Light" w:eastAsia="Times New Roman" w:hAnsi="Abadi Extra Light" w:cs="Calibri"/>
                <w:color w:val="000000"/>
                <w:szCs w:val="18"/>
                <w:lang w:val="en-KE" w:eastAsia="en-KE"/>
              </w:rPr>
              <w:t>CS Treasury &amp; Planning</w:t>
            </w:r>
          </w:p>
        </w:tc>
        <w:tc>
          <w:tcPr>
            <w:tcW w:w="2083" w:type="dxa"/>
            <w:shd w:val="clear" w:color="auto" w:fill="8ACC8E"/>
            <w:noWrap/>
            <w:hideMark/>
          </w:tcPr>
          <w:p w14:paraId="0464928A" w14:textId="77777777" w:rsidR="002B20CA" w:rsidRPr="00A059C1" w:rsidRDefault="002B20CA" w:rsidP="00373E9F">
            <w:pPr>
              <w:cnfStyle w:val="000000000000" w:firstRow="0" w:lastRow="0" w:firstColumn="0" w:lastColumn="0" w:oddVBand="0" w:evenVBand="0" w:oddHBand="0" w:evenHBand="0" w:firstRowFirstColumn="0" w:firstRowLastColumn="0" w:lastRowFirstColumn="0" w:lastRowLastColumn="0"/>
              <w:rPr>
                <w:rFonts w:ascii="Abadi Extra Light" w:eastAsia="Times New Roman" w:hAnsi="Abadi Extra Light" w:cs="Calibri"/>
                <w:color w:val="000000"/>
                <w:szCs w:val="18"/>
                <w:lang w:val="en-KE" w:eastAsia="en-KE"/>
              </w:rPr>
            </w:pPr>
            <w:r w:rsidRPr="00A059C1">
              <w:rPr>
                <w:rFonts w:ascii="Abadi Extra Light" w:eastAsia="Times New Roman" w:hAnsi="Abadi Extra Light" w:cs="Calibri"/>
                <w:color w:val="000000"/>
                <w:szCs w:val="18"/>
                <w:lang w:val="en-KE" w:eastAsia="en-KE"/>
              </w:rPr>
              <w:t>30th August</w:t>
            </w:r>
          </w:p>
        </w:tc>
        <w:tc>
          <w:tcPr>
            <w:tcW w:w="1402" w:type="dxa"/>
            <w:shd w:val="clear" w:color="auto" w:fill="8ACC8E"/>
            <w:noWrap/>
            <w:hideMark/>
          </w:tcPr>
          <w:p w14:paraId="21566FCF" w14:textId="77777777" w:rsidR="002B20CA" w:rsidRPr="00A059C1" w:rsidRDefault="002B20CA" w:rsidP="00373E9F">
            <w:pPr>
              <w:cnfStyle w:val="000000000000" w:firstRow="0" w:lastRow="0" w:firstColumn="0" w:lastColumn="0" w:oddVBand="0" w:evenVBand="0" w:oddHBand="0" w:evenHBand="0" w:firstRowFirstColumn="0" w:firstRowLastColumn="0" w:lastRowFirstColumn="0" w:lastRowLastColumn="0"/>
              <w:rPr>
                <w:rFonts w:ascii="Abadi Extra Light" w:eastAsia="Times New Roman" w:hAnsi="Abadi Extra Light" w:cs="Calibri"/>
                <w:color w:val="000000"/>
                <w:szCs w:val="18"/>
                <w:lang w:val="en-KE" w:eastAsia="en-KE"/>
              </w:rPr>
            </w:pPr>
          </w:p>
        </w:tc>
      </w:tr>
      <w:tr w:rsidR="00AB07D3" w:rsidRPr="00B14357" w14:paraId="49485347" w14:textId="77777777" w:rsidTr="00AB07D3">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039" w:type="dxa"/>
            <w:noWrap/>
            <w:hideMark/>
          </w:tcPr>
          <w:p w14:paraId="44EC603C" w14:textId="77777777" w:rsidR="002B20CA" w:rsidRPr="00A059C1" w:rsidRDefault="002B20CA" w:rsidP="00373E9F">
            <w:pPr>
              <w:rPr>
                <w:rFonts w:ascii="Franklin Gothic Demi" w:eastAsia="Times New Roman" w:hAnsi="Franklin Gothic Demi" w:cs="Calibri"/>
                <w:b w:val="0"/>
                <w:bCs w:val="0"/>
                <w:color w:val="000000"/>
                <w:szCs w:val="18"/>
                <w:lang w:val="en-KE" w:eastAsia="en-KE"/>
              </w:rPr>
            </w:pPr>
            <w:r w:rsidRPr="00A059C1">
              <w:rPr>
                <w:rFonts w:ascii="Franklin Gothic Demi" w:eastAsia="Times New Roman" w:hAnsi="Franklin Gothic Demi" w:cs="Calibri"/>
                <w:b w:val="0"/>
                <w:bCs w:val="0"/>
                <w:color w:val="000000"/>
                <w:szCs w:val="18"/>
                <w:lang w:val="en-KE" w:eastAsia="en-KE"/>
              </w:rPr>
              <w:t>Finance Bill &amp; Budget Policy Highlights</w:t>
            </w:r>
          </w:p>
        </w:tc>
        <w:tc>
          <w:tcPr>
            <w:tcW w:w="2618" w:type="dxa"/>
            <w:hideMark/>
          </w:tcPr>
          <w:p w14:paraId="3B34C101" w14:textId="77777777" w:rsidR="002B20CA" w:rsidRPr="00A059C1" w:rsidRDefault="002B20CA" w:rsidP="00373E9F">
            <w:pPr>
              <w:cnfStyle w:val="000000100000" w:firstRow="0" w:lastRow="0" w:firstColumn="0" w:lastColumn="0" w:oddVBand="0" w:evenVBand="0" w:oddHBand="1" w:evenHBand="0" w:firstRowFirstColumn="0" w:firstRowLastColumn="0" w:lastRowFirstColumn="0" w:lastRowLastColumn="0"/>
              <w:rPr>
                <w:rFonts w:ascii="Franklin Gothic Demi" w:eastAsia="Times New Roman" w:hAnsi="Franklin Gothic Demi" w:cs="Calibri"/>
                <w:color w:val="000000"/>
                <w:szCs w:val="18"/>
                <w:lang w:val="en-KE" w:eastAsia="en-KE"/>
              </w:rPr>
            </w:pPr>
          </w:p>
        </w:tc>
        <w:tc>
          <w:tcPr>
            <w:tcW w:w="2083" w:type="dxa"/>
            <w:noWrap/>
            <w:hideMark/>
          </w:tcPr>
          <w:p w14:paraId="71DD09B8" w14:textId="77777777" w:rsidR="002B20CA" w:rsidRPr="00A059C1" w:rsidRDefault="002B20CA" w:rsidP="00373E9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18"/>
                <w:lang w:val="en-KE" w:eastAsia="en-KE"/>
              </w:rPr>
            </w:pPr>
          </w:p>
        </w:tc>
        <w:tc>
          <w:tcPr>
            <w:tcW w:w="1402" w:type="dxa"/>
            <w:noWrap/>
            <w:hideMark/>
          </w:tcPr>
          <w:p w14:paraId="47CAC730" w14:textId="77777777" w:rsidR="002B20CA" w:rsidRPr="00A059C1" w:rsidRDefault="002B20CA" w:rsidP="00373E9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18"/>
                <w:lang w:val="en-KE" w:eastAsia="en-KE"/>
              </w:rPr>
            </w:pPr>
          </w:p>
        </w:tc>
      </w:tr>
      <w:tr w:rsidR="002B20CA" w:rsidRPr="00B14357" w14:paraId="1E3DEE5F" w14:textId="77777777" w:rsidTr="00AB07D3">
        <w:trPr>
          <w:trHeight w:val="281"/>
        </w:trPr>
        <w:tc>
          <w:tcPr>
            <w:cnfStyle w:val="001000000000" w:firstRow="0" w:lastRow="0" w:firstColumn="1" w:lastColumn="0" w:oddVBand="0" w:evenVBand="0" w:oddHBand="0" w:evenHBand="0" w:firstRowFirstColumn="0" w:firstRowLastColumn="0" w:lastRowFirstColumn="0" w:lastRowLastColumn="0"/>
            <w:tcW w:w="3039" w:type="dxa"/>
            <w:noWrap/>
            <w:hideMark/>
          </w:tcPr>
          <w:p w14:paraId="76AFB8A3" w14:textId="77777777" w:rsidR="002B20CA" w:rsidRPr="00A059C1" w:rsidRDefault="002B20CA" w:rsidP="00373E9F">
            <w:pPr>
              <w:rPr>
                <w:rFonts w:ascii="Abadi Extra Light" w:eastAsia="Times New Roman" w:hAnsi="Abadi Extra Light" w:cs="Calibri"/>
                <w:b w:val="0"/>
                <w:bCs w:val="0"/>
                <w:color w:val="000000"/>
                <w:szCs w:val="18"/>
                <w:lang w:val="en-KE" w:eastAsia="en-KE"/>
              </w:rPr>
            </w:pPr>
            <w:r w:rsidRPr="00A059C1">
              <w:rPr>
                <w:rFonts w:ascii="Abadi Extra Light" w:eastAsia="Times New Roman" w:hAnsi="Abadi Extra Light" w:cs="Calibri"/>
                <w:b w:val="0"/>
                <w:bCs w:val="0"/>
                <w:color w:val="000000"/>
                <w:szCs w:val="18"/>
                <w:lang w:val="en-KE" w:eastAsia="en-KE"/>
              </w:rPr>
              <w:t>Submission for consideration by NA</w:t>
            </w:r>
          </w:p>
        </w:tc>
        <w:tc>
          <w:tcPr>
            <w:tcW w:w="2618" w:type="dxa"/>
            <w:hideMark/>
          </w:tcPr>
          <w:p w14:paraId="4E4B29FE" w14:textId="77777777" w:rsidR="002B20CA" w:rsidRPr="00A059C1" w:rsidRDefault="002B20CA" w:rsidP="00373E9F">
            <w:pPr>
              <w:cnfStyle w:val="000000000000" w:firstRow="0" w:lastRow="0" w:firstColumn="0" w:lastColumn="0" w:oddVBand="0" w:evenVBand="0" w:oddHBand="0" w:evenHBand="0" w:firstRowFirstColumn="0" w:firstRowLastColumn="0" w:lastRowFirstColumn="0" w:lastRowLastColumn="0"/>
              <w:rPr>
                <w:rFonts w:ascii="Abadi Extra Light" w:eastAsia="Times New Roman" w:hAnsi="Abadi Extra Light" w:cs="Calibri"/>
                <w:color w:val="000000"/>
                <w:szCs w:val="18"/>
                <w:lang w:val="en-KE" w:eastAsia="en-KE"/>
              </w:rPr>
            </w:pPr>
            <w:r w:rsidRPr="00A059C1">
              <w:rPr>
                <w:rFonts w:ascii="Abadi Extra Light" w:eastAsia="Times New Roman" w:hAnsi="Abadi Extra Light" w:cs="Calibri"/>
                <w:color w:val="000000"/>
                <w:szCs w:val="18"/>
                <w:lang w:val="en-KE" w:eastAsia="en-KE"/>
              </w:rPr>
              <w:t>CS Treasury</w:t>
            </w:r>
          </w:p>
        </w:tc>
        <w:tc>
          <w:tcPr>
            <w:tcW w:w="2083" w:type="dxa"/>
            <w:noWrap/>
            <w:hideMark/>
          </w:tcPr>
          <w:p w14:paraId="3496DAF4" w14:textId="77777777" w:rsidR="002B20CA" w:rsidRPr="00A059C1" w:rsidRDefault="002B20CA" w:rsidP="00373E9F">
            <w:pPr>
              <w:cnfStyle w:val="000000000000" w:firstRow="0" w:lastRow="0" w:firstColumn="0" w:lastColumn="0" w:oddVBand="0" w:evenVBand="0" w:oddHBand="0" w:evenHBand="0" w:firstRowFirstColumn="0" w:firstRowLastColumn="0" w:lastRowFirstColumn="0" w:lastRowLastColumn="0"/>
              <w:rPr>
                <w:rFonts w:ascii="Abadi Extra Light" w:eastAsia="Times New Roman" w:hAnsi="Abadi Extra Light" w:cs="Calibri"/>
                <w:color w:val="000000"/>
                <w:szCs w:val="18"/>
                <w:lang w:val="en-KE" w:eastAsia="en-KE"/>
              </w:rPr>
            </w:pPr>
            <w:r w:rsidRPr="00A059C1">
              <w:rPr>
                <w:rFonts w:ascii="Abadi Extra Light" w:eastAsia="Times New Roman" w:hAnsi="Abadi Extra Light" w:cs="Calibri"/>
                <w:color w:val="000000"/>
                <w:szCs w:val="18"/>
                <w:lang w:val="en-KE" w:eastAsia="en-KE"/>
              </w:rPr>
              <w:t>30th June</w:t>
            </w:r>
          </w:p>
        </w:tc>
        <w:tc>
          <w:tcPr>
            <w:tcW w:w="1402" w:type="dxa"/>
            <w:noWrap/>
            <w:hideMark/>
          </w:tcPr>
          <w:p w14:paraId="1A5A88C7" w14:textId="77777777" w:rsidR="002B20CA" w:rsidRPr="00A059C1" w:rsidRDefault="002B20CA" w:rsidP="00373E9F">
            <w:pPr>
              <w:cnfStyle w:val="000000000000" w:firstRow="0" w:lastRow="0" w:firstColumn="0" w:lastColumn="0" w:oddVBand="0" w:evenVBand="0" w:oddHBand="0" w:evenHBand="0" w:firstRowFirstColumn="0" w:firstRowLastColumn="0" w:lastRowFirstColumn="0" w:lastRowLastColumn="0"/>
              <w:rPr>
                <w:rFonts w:ascii="Abadi Extra Light" w:eastAsia="Times New Roman" w:hAnsi="Abadi Extra Light" w:cs="Calibri"/>
                <w:color w:val="000000"/>
                <w:szCs w:val="18"/>
                <w:lang w:val="en-KE" w:eastAsia="en-KE"/>
              </w:rPr>
            </w:pPr>
            <w:r w:rsidRPr="00A059C1">
              <w:rPr>
                <w:rFonts w:ascii="Abadi Extra Light" w:eastAsia="Times New Roman" w:hAnsi="Abadi Extra Light" w:cs="Calibri"/>
                <w:color w:val="000000"/>
                <w:szCs w:val="18"/>
                <w:lang w:val="en-KE" w:eastAsia="en-KE"/>
              </w:rPr>
              <w:t> </w:t>
            </w:r>
          </w:p>
        </w:tc>
      </w:tr>
      <w:tr w:rsidR="00AB07D3" w:rsidRPr="00B14357" w14:paraId="3B65D7A3" w14:textId="77777777" w:rsidTr="00AB07D3">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039" w:type="dxa"/>
            <w:noWrap/>
            <w:hideMark/>
          </w:tcPr>
          <w:p w14:paraId="48EE6F34" w14:textId="77777777" w:rsidR="002B20CA" w:rsidRPr="00A059C1" w:rsidRDefault="002B20CA" w:rsidP="00373E9F">
            <w:pPr>
              <w:rPr>
                <w:rFonts w:ascii="Abadi Extra Light" w:eastAsia="Times New Roman" w:hAnsi="Abadi Extra Light" w:cs="Calibri"/>
                <w:b w:val="0"/>
                <w:bCs w:val="0"/>
                <w:color w:val="000000"/>
                <w:szCs w:val="18"/>
                <w:lang w:val="en-KE" w:eastAsia="en-KE"/>
              </w:rPr>
            </w:pPr>
            <w:r w:rsidRPr="00A059C1">
              <w:rPr>
                <w:rFonts w:ascii="Abadi Extra Light" w:eastAsia="Times New Roman" w:hAnsi="Abadi Extra Light" w:cs="Calibri"/>
                <w:b w:val="0"/>
                <w:bCs w:val="0"/>
                <w:color w:val="000000"/>
                <w:szCs w:val="18"/>
                <w:lang w:val="en-KE" w:eastAsia="en-KE"/>
              </w:rPr>
              <w:t>Approval</w:t>
            </w:r>
          </w:p>
        </w:tc>
        <w:tc>
          <w:tcPr>
            <w:tcW w:w="2618" w:type="dxa"/>
            <w:hideMark/>
          </w:tcPr>
          <w:p w14:paraId="7E2CFCAC" w14:textId="77777777" w:rsidR="002B20CA" w:rsidRPr="00A059C1" w:rsidRDefault="002B20CA" w:rsidP="00373E9F">
            <w:pPr>
              <w:cnfStyle w:val="000000100000" w:firstRow="0" w:lastRow="0" w:firstColumn="0" w:lastColumn="0" w:oddVBand="0" w:evenVBand="0" w:oddHBand="1" w:evenHBand="0" w:firstRowFirstColumn="0" w:firstRowLastColumn="0" w:lastRowFirstColumn="0" w:lastRowLastColumn="0"/>
              <w:rPr>
                <w:rFonts w:ascii="Abadi Extra Light" w:eastAsia="Times New Roman" w:hAnsi="Abadi Extra Light" w:cs="Calibri"/>
                <w:color w:val="000000"/>
                <w:szCs w:val="18"/>
                <w:lang w:val="en-KE" w:eastAsia="en-KE"/>
              </w:rPr>
            </w:pPr>
            <w:r w:rsidRPr="00A059C1">
              <w:rPr>
                <w:rFonts w:ascii="Abadi Extra Light" w:eastAsia="Times New Roman" w:hAnsi="Abadi Extra Light" w:cs="Calibri"/>
                <w:color w:val="000000"/>
                <w:szCs w:val="18"/>
                <w:lang w:val="en-KE" w:eastAsia="en-KE"/>
              </w:rPr>
              <w:t>Parliament</w:t>
            </w:r>
          </w:p>
        </w:tc>
        <w:tc>
          <w:tcPr>
            <w:tcW w:w="2083" w:type="dxa"/>
            <w:noWrap/>
            <w:hideMark/>
          </w:tcPr>
          <w:p w14:paraId="1EE64A13" w14:textId="77777777" w:rsidR="002B20CA" w:rsidRPr="00A059C1" w:rsidRDefault="002B20CA" w:rsidP="00373E9F">
            <w:pPr>
              <w:cnfStyle w:val="000000100000" w:firstRow="0" w:lastRow="0" w:firstColumn="0" w:lastColumn="0" w:oddVBand="0" w:evenVBand="0" w:oddHBand="1" w:evenHBand="0" w:firstRowFirstColumn="0" w:firstRowLastColumn="0" w:lastRowFirstColumn="0" w:lastRowLastColumn="0"/>
              <w:rPr>
                <w:rFonts w:ascii="Abadi Extra Light" w:eastAsia="Times New Roman" w:hAnsi="Abadi Extra Light" w:cs="Calibri"/>
                <w:color w:val="000000"/>
                <w:szCs w:val="18"/>
                <w:lang w:val="en-KE" w:eastAsia="en-KE"/>
              </w:rPr>
            </w:pPr>
            <w:r w:rsidRPr="00A059C1">
              <w:rPr>
                <w:rFonts w:ascii="Abadi Extra Light" w:eastAsia="Times New Roman" w:hAnsi="Abadi Extra Light" w:cs="Calibri"/>
                <w:color w:val="000000"/>
                <w:szCs w:val="18"/>
                <w:lang w:val="en-KE" w:eastAsia="en-KE"/>
              </w:rPr>
              <w:t>30th Sept</w:t>
            </w:r>
          </w:p>
        </w:tc>
        <w:tc>
          <w:tcPr>
            <w:tcW w:w="1402" w:type="dxa"/>
            <w:noWrap/>
            <w:hideMark/>
          </w:tcPr>
          <w:p w14:paraId="03B46A7C" w14:textId="77777777" w:rsidR="002B20CA" w:rsidRPr="00A059C1" w:rsidRDefault="002B20CA" w:rsidP="00373E9F">
            <w:pPr>
              <w:cnfStyle w:val="000000100000" w:firstRow="0" w:lastRow="0" w:firstColumn="0" w:lastColumn="0" w:oddVBand="0" w:evenVBand="0" w:oddHBand="1" w:evenHBand="0" w:firstRowFirstColumn="0" w:firstRowLastColumn="0" w:lastRowFirstColumn="0" w:lastRowLastColumn="0"/>
              <w:rPr>
                <w:rFonts w:ascii="Abadi Extra Light" w:eastAsia="Times New Roman" w:hAnsi="Abadi Extra Light" w:cs="Calibri"/>
                <w:color w:val="000000"/>
                <w:szCs w:val="18"/>
                <w:lang w:val="en-KE" w:eastAsia="en-KE"/>
              </w:rPr>
            </w:pPr>
          </w:p>
        </w:tc>
      </w:tr>
      <w:tr w:rsidR="002B20CA" w:rsidRPr="00A059C1" w14:paraId="464E97D6" w14:textId="77777777" w:rsidTr="00AB07D3">
        <w:trPr>
          <w:trHeight w:val="301"/>
        </w:trPr>
        <w:tc>
          <w:tcPr>
            <w:cnfStyle w:val="001000000000" w:firstRow="0" w:lastRow="0" w:firstColumn="1" w:lastColumn="0" w:oddVBand="0" w:evenVBand="0" w:oddHBand="0" w:evenHBand="0" w:firstRowFirstColumn="0" w:firstRowLastColumn="0" w:lastRowFirstColumn="0" w:lastRowLastColumn="0"/>
            <w:tcW w:w="3039" w:type="dxa"/>
            <w:noWrap/>
            <w:hideMark/>
          </w:tcPr>
          <w:p w14:paraId="4D0E51B8" w14:textId="77777777" w:rsidR="002B20CA" w:rsidRPr="00A059C1" w:rsidRDefault="002B20CA" w:rsidP="00373E9F">
            <w:pPr>
              <w:rPr>
                <w:rFonts w:ascii="Franklin Gothic Demi" w:eastAsia="Times New Roman" w:hAnsi="Franklin Gothic Demi" w:cs="Calibri"/>
                <w:b w:val="0"/>
                <w:bCs w:val="0"/>
                <w:color w:val="000000"/>
                <w:szCs w:val="18"/>
                <w:lang w:val="en-KE" w:eastAsia="en-KE"/>
              </w:rPr>
            </w:pPr>
            <w:r w:rsidRPr="00A059C1">
              <w:rPr>
                <w:rFonts w:ascii="Franklin Gothic Demi" w:eastAsia="Times New Roman" w:hAnsi="Franklin Gothic Demi" w:cs="Calibri"/>
                <w:b w:val="0"/>
                <w:bCs w:val="0"/>
                <w:color w:val="000000"/>
                <w:szCs w:val="18"/>
                <w:lang w:val="en-KE" w:eastAsia="en-KE"/>
              </w:rPr>
              <w:t xml:space="preserve">Budget Review and Outlook Paper </w:t>
            </w:r>
          </w:p>
        </w:tc>
        <w:tc>
          <w:tcPr>
            <w:tcW w:w="2618" w:type="dxa"/>
            <w:noWrap/>
            <w:hideMark/>
          </w:tcPr>
          <w:p w14:paraId="3961E0F4" w14:textId="77777777" w:rsidR="002B20CA" w:rsidRPr="00A059C1" w:rsidRDefault="002B20CA" w:rsidP="00373E9F">
            <w:pPr>
              <w:cnfStyle w:val="000000000000" w:firstRow="0" w:lastRow="0" w:firstColumn="0" w:lastColumn="0" w:oddVBand="0" w:evenVBand="0" w:oddHBand="0" w:evenHBand="0" w:firstRowFirstColumn="0" w:firstRowLastColumn="0" w:lastRowFirstColumn="0" w:lastRowLastColumn="0"/>
              <w:rPr>
                <w:rFonts w:ascii="Franklin Gothic Demi" w:eastAsia="Times New Roman" w:hAnsi="Franklin Gothic Demi" w:cs="Calibri"/>
                <w:color w:val="000000"/>
                <w:szCs w:val="18"/>
                <w:lang w:val="en-KE" w:eastAsia="en-KE"/>
              </w:rPr>
            </w:pPr>
          </w:p>
        </w:tc>
        <w:tc>
          <w:tcPr>
            <w:tcW w:w="2083" w:type="dxa"/>
            <w:noWrap/>
            <w:hideMark/>
          </w:tcPr>
          <w:p w14:paraId="7AFFB3B3" w14:textId="77777777" w:rsidR="002B20CA" w:rsidRPr="00A059C1" w:rsidRDefault="002B20CA" w:rsidP="00373E9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18"/>
                <w:lang w:val="en-KE" w:eastAsia="en-KE"/>
              </w:rPr>
            </w:pPr>
          </w:p>
        </w:tc>
        <w:tc>
          <w:tcPr>
            <w:tcW w:w="1402" w:type="dxa"/>
            <w:noWrap/>
            <w:hideMark/>
          </w:tcPr>
          <w:p w14:paraId="3E9DC9AC" w14:textId="77777777" w:rsidR="002B20CA" w:rsidRPr="00A059C1" w:rsidRDefault="002B20CA" w:rsidP="00373E9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18"/>
                <w:lang w:val="en-KE" w:eastAsia="en-KE"/>
              </w:rPr>
            </w:pPr>
          </w:p>
        </w:tc>
      </w:tr>
      <w:tr w:rsidR="00AB07D3" w:rsidRPr="00B14357" w14:paraId="3F16EBC3" w14:textId="77777777" w:rsidTr="00AB07D3">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039" w:type="dxa"/>
            <w:noWrap/>
            <w:hideMark/>
          </w:tcPr>
          <w:p w14:paraId="5023CA1A" w14:textId="77777777" w:rsidR="002B20CA" w:rsidRPr="00A059C1" w:rsidRDefault="002B20CA" w:rsidP="00373E9F">
            <w:pPr>
              <w:rPr>
                <w:rFonts w:ascii="Abadi Extra Light" w:eastAsia="Times New Roman" w:hAnsi="Abadi Extra Light" w:cs="Calibri"/>
                <w:b w:val="0"/>
                <w:bCs w:val="0"/>
                <w:color w:val="000000"/>
                <w:szCs w:val="18"/>
                <w:lang w:val="en-KE" w:eastAsia="en-KE"/>
              </w:rPr>
            </w:pPr>
            <w:r w:rsidRPr="00A059C1">
              <w:rPr>
                <w:rFonts w:ascii="Abadi Extra Light" w:eastAsia="Times New Roman" w:hAnsi="Abadi Extra Light" w:cs="Calibri"/>
                <w:b w:val="0"/>
                <w:bCs w:val="0"/>
                <w:color w:val="000000"/>
                <w:szCs w:val="18"/>
                <w:lang w:val="en-KE" w:eastAsia="en-KE"/>
              </w:rPr>
              <w:t>Preparation &amp; Submission to Cabinet</w:t>
            </w:r>
          </w:p>
        </w:tc>
        <w:tc>
          <w:tcPr>
            <w:tcW w:w="2618" w:type="dxa"/>
            <w:noWrap/>
            <w:hideMark/>
          </w:tcPr>
          <w:p w14:paraId="080D2DBA" w14:textId="77777777" w:rsidR="002B20CA" w:rsidRPr="00A059C1" w:rsidRDefault="002B20CA" w:rsidP="00373E9F">
            <w:pPr>
              <w:cnfStyle w:val="000000100000" w:firstRow="0" w:lastRow="0" w:firstColumn="0" w:lastColumn="0" w:oddVBand="0" w:evenVBand="0" w:oddHBand="1" w:evenHBand="0" w:firstRowFirstColumn="0" w:firstRowLastColumn="0" w:lastRowFirstColumn="0" w:lastRowLastColumn="0"/>
              <w:rPr>
                <w:rFonts w:ascii="Abadi Extra Light" w:eastAsia="Times New Roman" w:hAnsi="Abadi Extra Light" w:cs="Calibri"/>
                <w:color w:val="000000"/>
                <w:szCs w:val="18"/>
                <w:lang w:val="en-KE" w:eastAsia="en-KE"/>
              </w:rPr>
            </w:pPr>
            <w:r w:rsidRPr="00A059C1">
              <w:rPr>
                <w:rFonts w:ascii="Abadi Extra Light" w:eastAsia="Times New Roman" w:hAnsi="Abadi Extra Light" w:cs="Calibri"/>
                <w:color w:val="000000"/>
                <w:szCs w:val="18"/>
                <w:lang w:val="en-KE" w:eastAsia="en-KE"/>
              </w:rPr>
              <w:t>CS Treasury &amp; Planning</w:t>
            </w:r>
          </w:p>
        </w:tc>
        <w:tc>
          <w:tcPr>
            <w:tcW w:w="2083" w:type="dxa"/>
            <w:noWrap/>
            <w:hideMark/>
          </w:tcPr>
          <w:p w14:paraId="7C9FE9B8" w14:textId="77777777" w:rsidR="002B20CA" w:rsidRPr="00A059C1" w:rsidRDefault="002B20CA" w:rsidP="00373E9F">
            <w:pPr>
              <w:cnfStyle w:val="000000100000" w:firstRow="0" w:lastRow="0" w:firstColumn="0" w:lastColumn="0" w:oddVBand="0" w:evenVBand="0" w:oddHBand="1" w:evenHBand="0" w:firstRowFirstColumn="0" w:firstRowLastColumn="0" w:lastRowFirstColumn="0" w:lastRowLastColumn="0"/>
              <w:rPr>
                <w:rFonts w:ascii="Abadi Extra Light" w:eastAsia="Times New Roman" w:hAnsi="Abadi Extra Light" w:cs="Calibri"/>
                <w:color w:val="000000"/>
                <w:szCs w:val="18"/>
                <w:lang w:val="en-KE" w:eastAsia="en-KE"/>
              </w:rPr>
            </w:pPr>
            <w:r w:rsidRPr="00A059C1">
              <w:rPr>
                <w:rFonts w:ascii="Abadi Extra Light" w:eastAsia="Times New Roman" w:hAnsi="Abadi Extra Light" w:cs="Calibri"/>
                <w:color w:val="000000"/>
                <w:szCs w:val="18"/>
                <w:lang w:val="en-KE" w:eastAsia="en-KE"/>
              </w:rPr>
              <w:t xml:space="preserve">30th Sept </w:t>
            </w:r>
          </w:p>
        </w:tc>
        <w:tc>
          <w:tcPr>
            <w:tcW w:w="1402" w:type="dxa"/>
            <w:noWrap/>
            <w:hideMark/>
          </w:tcPr>
          <w:p w14:paraId="1DD63E0B" w14:textId="77777777" w:rsidR="002B20CA" w:rsidRPr="00A059C1" w:rsidRDefault="002B20CA" w:rsidP="00373E9F">
            <w:pPr>
              <w:cnfStyle w:val="000000100000" w:firstRow="0" w:lastRow="0" w:firstColumn="0" w:lastColumn="0" w:oddVBand="0" w:evenVBand="0" w:oddHBand="1" w:evenHBand="0" w:firstRowFirstColumn="0" w:firstRowLastColumn="0" w:lastRowFirstColumn="0" w:lastRowLastColumn="0"/>
              <w:rPr>
                <w:rFonts w:ascii="Abadi Extra Light" w:eastAsia="Times New Roman" w:hAnsi="Abadi Extra Light" w:cs="Calibri"/>
                <w:color w:val="000000"/>
                <w:szCs w:val="18"/>
                <w:lang w:val="en-KE" w:eastAsia="en-KE"/>
              </w:rPr>
            </w:pPr>
          </w:p>
        </w:tc>
      </w:tr>
      <w:tr w:rsidR="002B20CA" w:rsidRPr="00A059C1" w14:paraId="7EAFDA70" w14:textId="77777777" w:rsidTr="00AB07D3">
        <w:trPr>
          <w:trHeight w:val="281"/>
        </w:trPr>
        <w:tc>
          <w:tcPr>
            <w:cnfStyle w:val="001000000000" w:firstRow="0" w:lastRow="0" w:firstColumn="1" w:lastColumn="0" w:oddVBand="0" w:evenVBand="0" w:oddHBand="0" w:evenHBand="0" w:firstRowFirstColumn="0" w:firstRowLastColumn="0" w:lastRowFirstColumn="0" w:lastRowLastColumn="0"/>
            <w:tcW w:w="3039" w:type="dxa"/>
            <w:noWrap/>
            <w:hideMark/>
          </w:tcPr>
          <w:p w14:paraId="6D5F616B" w14:textId="77777777" w:rsidR="002B20CA" w:rsidRPr="00A059C1" w:rsidRDefault="002B20CA" w:rsidP="00373E9F">
            <w:pPr>
              <w:rPr>
                <w:rFonts w:ascii="Abadi Extra Light" w:eastAsia="Times New Roman" w:hAnsi="Abadi Extra Light" w:cs="Calibri"/>
                <w:b w:val="0"/>
                <w:bCs w:val="0"/>
                <w:color w:val="000000"/>
                <w:szCs w:val="18"/>
                <w:lang w:val="en-KE" w:eastAsia="en-KE"/>
              </w:rPr>
            </w:pPr>
            <w:r w:rsidRPr="00A059C1">
              <w:rPr>
                <w:rFonts w:ascii="Abadi Extra Light" w:eastAsia="Times New Roman" w:hAnsi="Abadi Extra Light" w:cs="Calibri"/>
                <w:b w:val="0"/>
                <w:bCs w:val="0"/>
                <w:color w:val="000000"/>
                <w:szCs w:val="18"/>
                <w:lang w:val="en-KE" w:eastAsia="en-KE"/>
              </w:rPr>
              <w:t>Publicize &amp; Publish Cabinet approved BROP</w:t>
            </w:r>
          </w:p>
        </w:tc>
        <w:tc>
          <w:tcPr>
            <w:tcW w:w="2618" w:type="dxa"/>
            <w:noWrap/>
            <w:hideMark/>
          </w:tcPr>
          <w:p w14:paraId="7F292DF1" w14:textId="77777777" w:rsidR="002B20CA" w:rsidRPr="00A059C1" w:rsidRDefault="002B20CA" w:rsidP="00373E9F">
            <w:pPr>
              <w:cnfStyle w:val="000000000000" w:firstRow="0" w:lastRow="0" w:firstColumn="0" w:lastColumn="0" w:oddVBand="0" w:evenVBand="0" w:oddHBand="0" w:evenHBand="0" w:firstRowFirstColumn="0" w:firstRowLastColumn="0" w:lastRowFirstColumn="0" w:lastRowLastColumn="0"/>
              <w:rPr>
                <w:rFonts w:ascii="Abadi Extra Light" w:eastAsia="Times New Roman" w:hAnsi="Abadi Extra Light" w:cs="Calibri"/>
                <w:color w:val="000000"/>
                <w:szCs w:val="18"/>
                <w:lang w:val="en-KE" w:eastAsia="en-KE"/>
              </w:rPr>
            </w:pPr>
          </w:p>
        </w:tc>
        <w:tc>
          <w:tcPr>
            <w:tcW w:w="2083" w:type="dxa"/>
            <w:noWrap/>
            <w:hideMark/>
          </w:tcPr>
          <w:p w14:paraId="69D4824A" w14:textId="77777777" w:rsidR="002B20CA" w:rsidRPr="00A059C1" w:rsidRDefault="002B20CA" w:rsidP="00373E9F">
            <w:pPr>
              <w:cnfStyle w:val="000000000000" w:firstRow="0" w:lastRow="0" w:firstColumn="0" w:lastColumn="0" w:oddVBand="0" w:evenVBand="0" w:oddHBand="0" w:evenHBand="0" w:firstRowFirstColumn="0" w:firstRowLastColumn="0" w:lastRowFirstColumn="0" w:lastRowLastColumn="0"/>
              <w:rPr>
                <w:rFonts w:ascii="Abadi Extra Light" w:eastAsia="Times New Roman" w:hAnsi="Abadi Extra Light" w:cs="Calibri"/>
                <w:color w:val="000000"/>
                <w:szCs w:val="18"/>
                <w:lang w:val="en-KE" w:eastAsia="en-KE"/>
              </w:rPr>
            </w:pPr>
            <w:r w:rsidRPr="00A059C1">
              <w:rPr>
                <w:rFonts w:ascii="Abadi Extra Light" w:eastAsia="Times New Roman" w:hAnsi="Abadi Extra Light" w:cs="Calibri"/>
                <w:color w:val="000000"/>
                <w:szCs w:val="18"/>
                <w:lang w:val="en-KE" w:eastAsia="en-KE"/>
              </w:rPr>
              <w:t>15th Oct</w:t>
            </w:r>
          </w:p>
        </w:tc>
        <w:tc>
          <w:tcPr>
            <w:tcW w:w="1402" w:type="dxa"/>
            <w:shd w:val="clear" w:color="auto" w:fill="C00000"/>
            <w:noWrap/>
            <w:hideMark/>
          </w:tcPr>
          <w:p w14:paraId="189747F2" w14:textId="77777777" w:rsidR="002B20CA" w:rsidRPr="00A059C1" w:rsidRDefault="002B20CA" w:rsidP="00373E9F">
            <w:pPr>
              <w:cnfStyle w:val="000000000000" w:firstRow="0" w:lastRow="0" w:firstColumn="0" w:lastColumn="0" w:oddVBand="0" w:evenVBand="0" w:oddHBand="0" w:evenHBand="0" w:firstRowFirstColumn="0" w:firstRowLastColumn="0" w:lastRowFirstColumn="0" w:lastRowLastColumn="0"/>
              <w:rPr>
                <w:rFonts w:ascii="Abadi Extra Light" w:eastAsia="Times New Roman" w:hAnsi="Abadi Extra Light" w:cs="Calibri"/>
                <w:color w:val="000000"/>
                <w:szCs w:val="18"/>
                <w:lang w:val="en-KE" w:eastAsia="en-KE"/>
              </w:rPr>
            </w:pPr>
            <w:r w:rsidRPr="00A059C1">
              <w:rPr>
                <w:rFonts w:ascii="Abadi Extra Light" w:eastAsia="Times New Roman" w:hAnsi="Abadi Extra Light" w:cs="Calibri"/>
                <w:color w:val="000000"/>
                <w:szCs w:val="18"/>
                <w:lang w:val="en-KE" w:eastAsia="en-KE"/>
              </w:rPr>
              <w:t> </w:t>
            </w:r>
          </w:p>
        </w:tc>
      </w:tr>
      <w:tr w:rsidR="00AB07D3" w:rsidRPr="00B14357" w14:paraId="085290C2" w14:textId="77777777" w:rsidTr="00AB07D3">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039" w:type="dxa"/>
            <w:noWrap/>
            <w:hideMark/>
          </w:tcPr>
          <w:p w14:paraId="3B5BFE7D" w14:textId="77777777" w:rsidR="002B20CA" w:rsidRPr="00A059C1" w:rsidRDefault="002B20CA" w:rsidP="00373E9F">
            <w:pPr>
              <w:rPr>
                <w:rFonts w:ascii="Abadi Extra Light" w:eastAsia="Times New Roman" w:hAnsi="Abadi Extra Light" w:cs="Calibri"/>
                <w:b w:val="0"/>
                <w:bCs w:val="0"/>
                <w:color w:val="000000"/>
                <w:szCs w:val="18"/>
                <w:lang w:val="en-KE" w:eastAsia="en-KE"/>
              </w:rPr>
            </w:pPr>
            <w:r w:rsidRPr="00A059C1">
              <w:rPr>
                <w:rFonts w:ascii="Abadi Extra Light" w:eastAsia="Times New Roman" w:hAnsi="Abadi Extra Light" w:cs="Calibri"/>
                <w:b w:val="0"/>
                <w:bCs w:val="0"/>
                <w:color w:val="000000"/>
                <w:szCs w:val="18"/>
                <w:lang w:val="en-KE" w:eastAsia="en-KE"/>
              </w:rPr>
              <w:t>Approval by Cabinet</w:t>
            </w:r>
          </w:p>
        </w:tc>
        <w:tc>
          <w:tcPr>
            <w:tcW w:w="2618" w:type="dxa"/>
            <w:noWrap/>
            <w:hideMark/>
          </w:tcPr>
          <w:p w14:paraId="533EC85E" w14:textId="77777777" w:rsidR="002B20CA" w:rsidRPr="00A059C1" w:rsidRDefault="002B20CA" w:rsidP="00373E9F">
            <w:pPr>
              <w:cnfStyle w:val="000000100000" w:firstRow="0" w:lastRow="0" w:firstColumn="0" w:lastColumn="0" w:oddVBand="0" w:evenVBand="0" w:oddHBand="1" w:evenHBand="0" w:firstRowFirstColumn="0" w:firstRowLastColumn="0" w:lastRowFirstColumn="0" w:lastRowLastColumn="0"/>
              <w:rPr>
                <w:rFonts w:ascii="Abadi Extra Light" w:eastAsia="Times New Roman" w:hAnsi="Abadi Extra Light" w:cs="Calibri"/>
                <w:color w:val="000000"/>
                <w:szCs w:val="18"/>
                <w:lang w:val="en-KE" w:eastAsia="en-KE"/>
              </w:rPr>
            </w:pPr>
            <w:r w:rsidRPr="00A059C1">
              <w:rPr>
                <w:rFonts w:ascii="Abadi Extra Light" w:eastAsia="Times New Roman" w:hAnsi="Abadi Extra Light" w:cs="Calibri"/>
                <w:color w:val="000000"/>
                <w:szCs w:val="18"/>
                <w:lang w:val="en-KE" w:eastAsia="en-KE"/>
              </w:rPr>
              <w:t>Cabinet</w:t>
            </w:r>
          </w:p>
        </w:tc>
        <w:tc>
          <w:tcPr>
            <w:tcW w:w="2083" w:type="dxa"/>
            <w:noWrap/>
            <w:hideMark/>
          </w:tcPr>
          <w:p w14:paraId="2A999883" w14:textId="77777777" w:rsidR="002B20CA" w:rsidRPr="00A059C1" w:rsidRDefault="002B20CA" w:rsidP="00373E9F">
            <w:pPr>
              <w:cnfStyle w:val="000000100000" w:firstRow="0" w:lastRow="0" w:firstColumn="0" w:lastColumn="0" w:oddVBand="0" w:evenVBand="0" w:oddHBand="1" w:evenHBand="0" w:firstRowFirstColumn="0" w:firstRowLastColumn="0" w:lastRowFirstColumn="0" w:lastRowLastColumn="0"/>
              <w:rPr>
                <w:rFonts w:ascii="Abadi Extra Light" w:eastAsia="Times New Roman" w:hAnsi="Abadi Extra Light" w:cs="Calibri"/>
                <w:color w:val="000000"/>
                <w:szCs w:val="18"/>
                <w:lang w:val="en-KE" w:eastAsia="en-KE"/>
              </w:rPr>
            </w:pPr>
            <w:r w:rsidRPr="00A059C1">
              <w:rPr>
                <w:rFonts w:ascii="Abadi Extra Light" w:eastAsia="Times New Roman" w:hAnsi="Abadi Extra Light" w:cs="Calibri"/>
                <w:color w:val="000000"/>
                <w:szCs w:val="18"/>
                <w:lang w:val="en-KE" w:eastAsia="en-KE"/>
              </w:rPr>
              <w:t>14th Oct</w:t>
            </w:r>
          </w:p>
        </w:tc>
        <w:tc>
          <w:tcPr>
            <w:tcW w:w="1402" w:type="dxa"/>
            <w:noWrap/>
            <w:hideMark/>
          </w:tcPr>
          <w:p w14:paraId="617CB5AD" w14:textId="77777777" w:rsidR="002B20CA" w:rsidRPr="00A059C1" w:rsidRDefault="002B20CA" w:rsidP="00373E9F">
            <w:pPr>
              <w:cnfStyle w:val="000000100000" w:firstRow="0" w:lastRow="0" w:firstColumn="0" w:lastColumn="0" w:oddVBand="0" w:evenVBand="0" w:oddHBand="1" w:evenHBand="0" w:firstRowFirstColumn="0" w:firstRowLastColumn="0" w:lastRowFirstColumn="0" w:lastRowLastColumn="0"/>
              <w:rPr>
                <w:rFonts w:ascii="Abadi Extra Light" w:eastAsia="Times New Roman" w:hAnsi="Abadi Extra Light" w:cs="Calibri"/>
                <w:color w:val="000000"/>
                <w:szCs w:val="18"/>
                <w:lang w:val="en-KE" w:eastAsia="en-KE"/>
              </w:rPr>
            </w:pPr>
          </w:p>
        </w:tc>
      </w:tr>
      <w:tr w:rsidR="002B20CA" w:rsidRPr="00A059C1" w14:paraId="4F5E729F" w14:textId="77777777" w:rsidTr="00AB07D3">
        <w:trPr>
          <w:trHeight w:val="281"/>
        </w:trPr>
        <w:tc>
          <w:tcPr>
            <w:cnfStyle w:val="001000000000" w:firstRow="0" w:lastRow="0" w:firstColumn="1" w:lastColumn="0" w:oddVBand="0" w:evenVBand="0" w:oddHBand="0" w:evenHBand="0" w:firstRowFirstColumn="0" w:firstRowLastColumn="0" w:lastRowFirstColumn="0" w:lastRowLastColumn="0"/>
            <w:tcW w:w="3039" w:type="dxa"/>
            <w:noWrap/>
            <w:hideMark/>
          </w:tcPr>
          <w:p w14:paraId="62880CF6" w14:textId="77777777" w:rsidR="002B20CA" w:rsidRPr="00A059C1" w:rsidRDefault="002B20CA" w:rsidP="00373E9F">
            <w:pPr>
              <w:rPr>
                <w:rFonts w:ascii="Abadi Extra Light" w:eastAsia="Times New Roman" w:hAnsi="Abadi Extra Light" w:cs="Calibri"/>
                <w:b w:val="0"/>
                <w:bCs w:val="0"/>
                <w:color w:val="000000"/>
                <w:szCs w:val="18"/>
                <w:lang w:val="en-KE" w:eastAsia="en-KE"/>
              </w:rPr>
            </w:pPr>
            <w:r w:rsidRPr="00A059C1">
              <w:rPr>
                <w:rFonts w:ascii="Abadi Extra Light" w:eastAsia="Times New Roman" w:hAnsi="Abadi Extra Light" w:cs="Calibri"/>
                <w:b w:val="0"/>
                <w:bCs w:val="0"/>
                <w:color w:val="000000"/>
                <w:szCs w:val="18"/>
                <w:lang w:val="en-KE" w:eastAsia="en-KE"/>
              </w:rPr>
              <w:t xml:space="preserve">Submit to National Assembly Budget Cttee </w:t>
            </w:r>
          </w:p>
        </w:tc>
        <w:tc>
          <w:tcPr>
            <w:tcW w:w="2618" w:type="dxa"/>
            <w:noWrap/>
            <w:hideMark/>
          </w:tcPr>
          <w:p w14:paraId="186612D6" w14:textId="77777777" w:rsidR="002B20CA" w:rsidRPr="00A059C1" w:rsidRDefault="002B20CA" w:rsidP="00373E9F">
            <w:pPr>
              <w:cnfStyle w:val="000000000000" w:firstRow="0" w:lastRow="0" w:firstColumn="0" w:lastColumn="0" w:oddVBand="0" w:evenVBand="0" w:oddHBand="0" w:evenHBand="0" w:firstRowFirstColumn="0" w:firstRowLastColumn="0" w:lastRowFirstColumn="0" w:lastRowLastColumn="0"/>
              <w:rPr>
                <w:rFonts w:ascii="Abadi Extra Light" w:eastAsia="Times New Roman" w:hAnsi="Abadi Extra Light" w:cs="Calibri"/>
                <w:color w:val="000000"/>
                <w:szCs w:val="18"/>
                <w:lang w:val="en-KE" w:eastAsia="en-KE"/>
              </w:rPr>
            </w:pPr>
            <w:r w:rsidRPr="00A059C1">
              <w:rPr>
                <w:rFonts w:ascii="Abadi Extra Light" w:eastAsia="Times New Roman" w:hAnsi="Abadi Extra Light" w:cs="Calibri"/>
                <w:color w:val="000000"/>
                <w:szCs w:val="18"/>
                <w:lang w:val="en-KE" w:eastAsia="en-KE"/>
              </w:rPr>
              <w:t>CS Treasury &amp; Planning</w:t>
            </w:r>
          </w:p>
        </w:tc>
        <w:tc>
          <w:tcPr>
            <w:tcW w:w="2083" w:type="dxa"/>
            <w:noWrap/>
            <w:hideMark/>
          </w:tcPr>
          <w:p w14:paraId="1EED4A93" w14:textId="77777777" w:rsidR="002B20CA" w:rsidRPr="00A059C1" w:rsidRDefault="002B20CA" w:rsidP="00373E9F">
            <w:pPr>
              <w:cnfStyle w:val="000000000000" w:firstRow="0" w:lastRow="0" w:firstColumn="0" w:lastColumn="0" w:oddVBand="0" w:evenVBand="0" w:oddHBand="0" w:evenHBand="0" w:firstRowFirstColumn="0" w:firstRowLastColumn="0" w:lastRowFirstColumn="0" w:lastRowLastColumn="0"/>
              <w:rPr>
                <w:rFonts w:ascii="Abadi Extra Light" w:eastAsia="Times New Roman" w:hAnsi="Abadi Extra Light" w:cs="Calibri"/>
                <w:color w:val="000000"/>
                <w:szCs w:val="18"/>
                <w:lang w:val="en-KE" w:eastAsia="en-KE"/>
              </w:rPr>
            </w:pPr>
            <w:r w:rsidRPr="00A059C1">
              <w:rPr>
                <w:rFonts w:ascii="Abadi Extra Light" w:eastAsia="Times New Roman" w:hAnsi="Abadi Extra Light" w:cs="Calibri"/>
                <w:color w:val="000000"/>
                <w:szCs w:val="18"/>
                <w:lang w:val="en-KE" w:eastAsia="en-KE"/>
              </w:rPr>
              <w:t>21st Oct</w:t>
            </w:r>
          </w:p>
        </w:tc>
        <w:tc>
          <w:tcPr>
            <w:tcW w:w="1402" w:type="dxa"/>
            <w:noWrap/>
            <w:hideMark/>
          </w:tcPr>
          <w:p w14:paraId="1052B109" w14:textId="77777777" w:rsidR="002B20CA" w:rsidRPr="00A059C1" w:rsidRDefault="002B20CA" w:rsidP="00373E9F">
            <w:pPr>
              <w:cnfStyle w:val="000000000000" w:firstRow="0" w:lastRow="0" w:firstColumn="0" w:lastColumn="0" w:oddVBand="0" w:evenVBand="0" w:oddHBand="0" w:evenHBand="0" w:firstRowFirstColumn="0" w:firstRowLastColumn="0" w:lastRowFirstColumn="0" w:lastRowLastColumn="0"/>
              <w:rPr>
                <w:rFonts w:ascii="Abadi Extra Light" w:eastAsia="Times New Roman" w:hAnsi="Abadi Extra Light" w:cs="Calibri"/>
                <w:color w:val="000000"/>
                <w:szCs w:val="18"/>
                <w:lang w:val="en-KE" w:eastAsia="en-KE"/>
              </w:rPr>
            </w:pPr>
          </w:p>
        </w:tc>
      </w:tr>
      <w:tr w:rsidR="00AB07D3" w:rsidRPr="00B14357" w14:paraId="735494A8" w14:textId="77777777" w:rsidTr="00AB07D3">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039" w:type="dxa"/>
            <w:noWrap/>
            <w:hideMark/>
          </w:tcPr>
          <w:p w14:paraId="75601B1F" w14:textId="77777777" w:rsidR="002B20CA" w:rsidRPr="00A059C1" w:rsidRDefault="002B20CA" w:rsidP="00373E9F">
            <w:pPr>
              <w:rPr>
                <w:rFonts w:ascii="Abadi Extra Light" w:eastAsia="Times New Roman" w:hAnsi="Abadi Extra Light" w:cs="Calibri"/>
                <w:b w:val="0"/>
                <w:bCs w:val="0"/>
                <w:color w:val="000000"/>
                <w:szCs w:val="18"/>
                <w:lang w:val="en-KE" w:eastAsia="en-KE"/>
              </w:rPr>
            </w:pPr>
            <w:r w:rsidRPr="00A059C1">
              <w:rPr>
                <w:rFonts w:ascii="Abadi Extra Light" w:eastAsia="Times New Roman" w:hAnsi="Abadi Extra Light" w:cs="Calibri"/>
                <w:b w:val="0"/>
                <w:bCs w:val="0"/>
                <w:color w:val="000000"/>
                <w:szCs w:val="18"/>
                <w:lang w:val="en-KE" w:eastAsia="en-KE"/>
              </w:rPr>
              <w:t>Approval by Budget Committee</w:t>
            </w:r>
          </w:p>
        </w:tc>
        <w:tc>
          <w:tcPr>
            <w:tcW w:w="2618" w:type="dxa"/>
            <w:noWrap/>
            <w:hideMark/>
          </w:tcPr>
          <w:p w14:paraId="02FD5A8B" w14:textId="77777777" w:rsidR="002B20CA" w:rsidRPr="00A059C1" w:rsidRDefault="002B20CA" w:rsidP="00373E9F">
            <w:pPr>
              <w:cnfStyle w:val="000000100000" w:firstRow="0" w:lastRow="0" w:firstColumn="0" w:lastColumn="0" w:oddVBand="0" w:evenVBand="0" w:oddHBand="1" w:evenHBand="0" w:firstRowFirstColumn="0" w:firstRowLastColumn="0" w:lastRowFirstColumn="0" w:lastRowLastColumn="0"/>
              <w:rPr>
                <w:rFonts w:ascii="Abadi Extra Light" w:eastAsia="Times New Roman" w:hAnsi="Abadi Extra Light" w:cs="Calibri"/>
                <w:color w:val="000000"/>
                <w:szCs w:val="18"/>
                <w:lang w:val="en-KE" w:eastAsia="en-KE"/>
              </w:rPr>
            </w:pPr>
            <w:r w:rsidRPr="00A059C1">
              <w:rPr>
                <w:rFonts w:ascii="Abadi Extra Light" w:eastAsia="Times New Roman" w:hAnsi="Abadi Extra Light" w:cs="Calibri"/>
                <w:color w:val="000000"/>
                <w:szCs w:val="18"/>
                <w:lang w:val="en-KE" w:eastAsia="en-KE"/>
              </w:rPr>
              <w:t>Budget Committee</w:t>
            </w:r>
          </w:p>
        </w:tc>
        <w:tc>
          <w:tcPr>
            <w:tcW w:w="2083" w:type="dxa"/>
            <w:noWrap/>
            <w:hideMark/>
          </w:tcPr>
          <w:p w14:paraId="4C8737B9" w14:textId="77777777" w:rsidR="002B20CA" w:rsidRPr="00A059C1" w:rsidRDefault="002B20CA" w:rsidP="00373E9F">
            <w:pPr>
              <w:cnfStyle w:val="000000100000" w:firstRow="0" w:lastRow="0" w:firstColumn="0" w:lastColumn="0" w:oddVBand="0" w:evenVBand="0" w:oddHBand="1" w:evenHBand="0" w:firstRowFirstColumn="0" w:firstRowLastColumn="0" w:lastRowFirstColumn="0" w:lastRowLastColumn="0"/>
              <w:rPr>
                <w:rFonts w:ascii="Abadi Extra Light" w:eastAsia="Times New Roman" w:hAnsi="Abadi Extra Light" w:cs="Calibri"/>
                <w:color w:val="000000"/>
                <w:szCs w:val="18"/>
                <w:lang w:val="en-KE" w:eastAsia="en-KE"/>
              </w:rPr>
            </w:pPr>
          </w:p>
        </w:tc>
        <w:tc>
          <w:tcPr>
            <w:tcW w:w="1402" w:type="dxa"/>
            <w:noWrap/>
            <w:hideMark/>
          </w:tcPr>
          <w:p w14:paraId="7A719B02" w14:textId="77777777" w:rsidR="002B20CA" w:rsidRPr="00A059C1" w:rsidRDefault="002B20CA" w:rsidP="00373E9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18"/>
                <w:lang w:val="en-KE" w:eastAsia="en-KE"/>
              </w:rPr>
            </w:pPr>
          </w:p>
        </w:tc>
      </w:tr>
      <w:tr w:rsidR="002B20CA" w:rsidRPr="00A059C1" w14:paraId="50C5BD6E" w14:textId="77777777" w:rsidTr="00AB07D3">
        <w:trPr>
          <w:trHeight w:val="281"/>
        </w:trPr>
        <w:tc>
          <w:tcPr>
            <w:cnfStyle w:val="001000000000" w:firstRow="0" w:lastRow="0" w:firstColumn="1" w:lastColumn="0" w:oddVBand="0" w:evenVBand="0" w:oddHBand="0" w:evenHBand="0" w:firstRowFirstColumn="0" w:firstRowLastColumn="0" w:lastRowFirstColumn="0" w:lastRowLastColumn="0"/>
            <w:tcW w:w="3039" w:type="dxa"/>
            <w:noWrap/>
            <w:hideMark/>
          </w:tcPr>
          <w:p w14:paraId="0ED7F7D5" w14:textId="77777777" w:rsidR="002B20CA" w:rsidRPr="00A059C1" w:rsidRDefault="002B20CA" w:rsidP="00373E9F">
            <w:pPr>
              <w:rPr>
                <w:rFonts w:ascii="Abadi Extra Light" w:eastAsia="Times New Roman" w:hAnsi="Abadi Extra Light" w:cs="Calibri"/>
                <w:b w:val="0"/>
                <w:bCs w:val="0"/>
                <w:color w:val="000000"/>
                <w:szCs w:val="18"/>
                <w:lang w:val="en-KE" w:eastAsia="en-KE"/>
              </w:rPr>
            </w:pPr>
            <w:r w:rsidRPr="00A059C1">
              <w:rPr>
                <w:rFonts w:ascii="Abadi Extra Light" w:eastAsia="Times New Roman" w:hAnsi="Abadi Extra Light" w:cs="Calibri"/>
                <w:b w:val="0"/>
                <w:bCs w:val="0"/>
                <w:color w:val="000000"/>
                <w:szCs w:val="18"/>
                <w:lang w:val="en-KE" w:eastAsia="en-KE"/>
              </w:rPr>
              <w:t>Publicize &amp; Publish NA approved BROP</w:t>
            </w:r>
          </w:p>
        </w:tc>
        <w:tc>
          <w:tcPr>
            <w:tcW w:w="2618" w:type="dxa"/>
            <w:noWrap/>
            <w:hideMark/>
          </w:tcPr>
          <w:p w14:paraId="0E4B512B" w14:textId="77777777" w:rsidR="002B20CA" w:rsidRPr="00A059C1" w:rsidRDefault="002B20CA" w:rsidP="00373E9F">
            <w:pPr>
              <w:cnfStyle w:val="000000000000" w:firstRow="0" w:lastRow="0" w:firstColumn="0" w:lastColumn="0" w:oddVBand="0" w:evenVBand="0" w:oddHBand="0" w:evenHBand="0" w:firstRowFirstColumn="0" w:firstRowLastColumn="0" w:lastRowFirstColumn="0" w:lastRowLastColumn="0"/>
              <w:rPr>
                <w:rFonts w:ascii="Abadi Extra Light" w:eastAsia="Times New Roman" w:hAnsi="Abadi Extra Light" w:cs="Calibri"/>
                <w:color w:val="000000"/>
                <w:szCs w:val="18"/>
                <w:lang w:val="en-KE" w:eastAsia="en-KE"/>
              </w:rPr>
            </w:pPr>
            <w:r w:rsidRPr="00A059C1">
              <w:rPr>
                <w:rFonts w:ascii="Abadi Extra Light" w:eastAsia="Times New Roman" w:hAnsi="Abadi Extra Light" w:cs="Calibri"/>
                <w:color w:val="000000"/>
                <w:szCs w:val="18"/>
                <w:lang w:val="en-KE" w:eastAsia="en-KE"/>
              </w:rPr>
              <w:t>CS Treasury &amp; Planning</w:t>
            </w:r>
          </w:p>
        </w:tc>
        <w:tc>
          <w:tcPr>
            <w:tcW w:w="2083" w:type="dxa"/>
            <w:noWrap/>
            <w:hideMark/>
          </w:tcPr>
          <w:p w14:paraId="7A75873B" w14:textId="77777777" w:rsidR="002B20CA" w:rsidRPr="00A059C1" w:rsidRDefault="002B20CA" w:rsidP="00373E9F">
            <w:pPr>
              <w:cnfStyle w:val="000000000000" w:firstRow="0" w:lastRow="0" w:firstColumn="0" w:lastColumn="0" w:oddVBand="0" w:evenVBand="0" w:oddHBand="0" w:evenHBand="0" w:firstRowFirstColumn="0" w:firstRowLastColumn="0" w:lastRowFirstColumn="0" w:lastRowLastColumn="0"/>
              <w:rPr>
                <w:rFonts w:ascii="Abadi Extra Light" w:eastAsia="Times New Roman" w:hAnsi="Abadi Extra Light" w:cs="Calibri"/>
                <w:color w:val="000000"/>
                <w:szCs w:val="18"/>
                <w:lang w:val="en-KE" w:eastAsia="en-KE"/>
              </w:rPr>
            </w:pPr>
            <w:r w:rsidRPr="00A059C1">
              <w:rPr>
                <w:rFonts w:ascii="Abadi Extra Light" w:eastAsia="Times New Roman" w:hAnsi="Abadi Extra Light" w:cs="Calibri"/>
                <w:color w:val="000000"/>
                <w:szCs w:val="18"/>
                <w:lang w:val="en-KE" w:eastAsia="en-KE"/>
              </w:rPr>
              <w:t>5th Nov</w:t>
            </w:r>
          </w:p>
        </w:tc>
        <w:tc>
          <w:tcPr>
            <w:tcW w:w="1402" w:type="dxa"/>
            <w:shd w:val="clear" w:color="auto" w:fill="C00000"/>
            <w:noWrap/>
            <w:hideMark/>
          </w:tcPr>
          <w:p w14:paraId="09D1CD82" w14:textId="77777777" w:rsidR="002B20CA" w:rsidRPr="00A059C1" w:rsidRDefault="002B20CA" w:rsidP="00373E9F">
            <w:pPr>
              <w:cnfStyle w:val="000000000000" w:firstRow="0" w:lastRow="0" w:firstColumn="0" w:lastColumn="0" w:oddVBand="0" w:evenVBand="0" w:oddHBand="0" w:evenHBand="0" w:firstRowFirstColumn="0" w:firstRowLastColumn="0" w:lastRowFirstColumn="0" w:lastRowLastColumn="0"/>
              <w:rPr>
                <w:rFonts w:ascii="Abadi Extra Light" w:eastAsia="Times New Roman" w:hAnsi="Abadi Extra Light" w:cs="Calibri"/>
                <w:color w:val="000000"/>
                <w:szCs w:val="18"/>
                <w:lang w:val="en-KE" w:eastAsia="en-KE"/>
              </w:rPr>
            </w:pPr>
            <w:r w:rsidRPr="00A059C1">
              <w:rPr>
                <w:rFonts w:ascii="Abadi Extra Light" w:eastAsia="Times New Roman" w:hAnsi="Abadi Extra Light" w:cs="Calibri"/>
                <w:color w:val="000000"/>
                <w:szCs w:val="18"/>
                <w:lang w:val="en-KE" w:eastAsia="en-KE"/>
              </w:rPr>
              <w:t> </w:t>
            </w:r>
          </w:p>
        </w:tc>
      </w:tr>
      <w:tr w:rsidR="00AB07D3" w:rsidRPr="00B14357" w14:paraId="7FB03182" w14:textId="77777777" w:rsidTr="00AB07D3">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039" w:type="dxa"/>
            <w:noWrap/>
            <w:hideMark/>
          </w:tcPr>
          <w:p w14:paraId="4D01108F" w14:textId="77777777" w:rsidR="002B20CA" w:rsidRPr="00A059C1" w:rsidRDefault="002B20CA" w:rsidP="00373E9F">
            <w:pPr>
              <w:rPr>
                <w:rFonts w:ascii="Franklin Gothic Demi" w:eastAsia="Times New Roman" w:hAnsi="Franklin Gothic Demi" w:cs="Calibri"/>
                <w:b w:val="0"/>
                <w:bCs w:val="0"/>
                <w:color w:val="000000"/>
                <w:szCs w:val="18"/>
                <w:lang w:val="en-KE" w:eastAsia="en-KE"/>
              </w:rPr>
            </w:pPr>
            <w:r w:rsidRPr="00A059C1">
              <w:rPr>
                <w:rFonts w:ascii="Franklin Gothic Demi" w:eastAsia="Times New Roman" w:hAnsi="Franklin Gothic Demi" w:cs="Calibri"/>
                <w:b w:val="0"/>
                <w:bCs w:val="0"/>
                <w:color w:val="000000"/>
                <w:szCs w:val="18"/>
                <w:lang w:val="en-KE" w:eastAsia="en-KE"/>
              </w:rPr>
              <w:t>Supplementary Budgets</w:t>
            </w:r>
          </w:p>
        </w:tc>
        <w:tc>
          <w:tcPr>
            <w:tcW w:w="2618" w:type="dxa"/>
            <w:noWrap/>
            <w:hideMark/>
          </w:tcPr>
          <w:p w14:paraId="3CE5117F" w14:textId="77777777" w:rsidR="002B20CA" w:rsidRPr="00A059C1" w:rsidRDefault="002B20CA" w:rsidP="00373E9F">
            <w:pPr>
              <w:cnfStyle w:val="000000100000" w:firstRow="0" w:lastRow="0" w:firstColumn="0" w:lastColumn="0" w:oddVBand="0" w:evenVBand="0" w:oddHBand="1" w:evenHBand="0" w:firstRowFirstColumn="0" w:firstRowLastColumn="0" w:lastRowFirstColumn="0" w:lastRowLastColumn="0"/>
              <w:rPr>
                <w:rFonts w:ascii="Franklin Gothic Demi" w:eastAsia="Times New Roman" w:hAnsi="Franklin Gothic Demi" w:cs="Calibri"/>
                <w:color w:val="000000"/>
                <w:szCs w:val="18"/>
                <w:lang w:val="en-KE" w:eastAsia="en-KE"/>
              </w:rPr>
            </w:pPr>
          </w:p>
        </w:tc>
        <w:tc>
          <w:tcPr>
            <w:tcW w:w="2083" w:type="dxa"/>
            <w:noWrap/>
            <w:hideMark/>
          </w:tcPr>
          <w:p w14:paraId="3ADCFCEB" w14:textId="77777777" w:rsidR="002B20CA" w:rsidRPr="00A059C1" w:rsidRDefault="002B20CA" w:rsidP="00373E9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18"/>
                <w:lang w:val="en-KE" w:eastAsia="en-KE"/>
              </w:rPr>
            </w:pPr>
          </w:p>
        </w:tc>
        <w:tc>
          <w:tcPr>
            <w:tcW w:w="1402" w:type="dxa"/>
            <w:noWrap/>
            <w:hideMark/>
          </w:tcPr>
          <w:p w14:paraId="4ADF9DA9" w14:textId="77777777" w:rsidR="002B20CA" w:rsidRPr="00A059C1" w:rsidRDefault="002B20CA" w:rsidP="00373E9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18"/>
                <w:lang w:val="en-KE" w:eastAsia="en-KE"/>
              </w:rPr>
            </w:pPr>
          </w:p>
        </w:tc>
      </w:tr>
      <w:tr w:rsidR="002B20CA" w:rsidRPr="00B14357" w14:paraId="463C13A6" w14:textId="77777777" w:rsidTr="00AB07D3">
        <w:trPr>
          <w:trHeight w:val="563"/>
        </w:trPr>
        <w:tc>
          <w:tcPr>
            <w:cnfStyle w:val="001000000000" w:firstRow="0" w:lastRow="0" w:firstColumn="1" w:lastColumn="0" w:oddVBand="0" w:evenVBand="0" w:oddHBand="0" w:evenHBand="0" w:firstRowFirstColumn="0" w:firstRowLastColumn="0" w:lastRowFirstColumn="0" w:lastRowLastColumn="0"/>
            <w:tcW w:w="3039" w:type="dxa"/>
            <w:noWrap/>
            <w:hideMark/>
          </w:tcPr>
          <w:p w14:paraId="2568559E" w14:textId="77777777" w:rsidR="002B20CA" w:rsidRPr="00A059C1" w:rsidRDefault="002B20CA" w:rsidP="00373E9F">
            <w:pPr>
              <w:rPr>
                <w:rFonts w:ascii="Abadi Extra Light" w:eastAsia="Times New Roman" w:hAnsi="Abadi Extra Light" w:cs="Calibri"/>
                <w:b w:val="0"/>
                <w:bCs w:val="0"/>
                <w:color w:val="000000"/>
                <w:szCs w:val="18"/>
                <w:lang w:val="en-KE" w:eastAsia="en-KE"/>
              </w:rPr>
            </w:pPr>
            <w:r w:rsidRPr="00A059C1">
              <w:rPr>
                <w:rFonts w:ascii="Abadi Extra Light" w:eastAsia="Times New Roman" w:hAnsi="Abadi Extra Light" w:cs="Calibri"/>
                <w:b w:val="0"/>
                <w:bCs w:val="0"/>
                <w:color w:val="000000"/>
                <w:szCs w:val="18"/>
                <w:lang w:val="en-KE" w:eastAsia="en-KE"/>
              </w:rPr>
              <w:t>Preparation and Submission to NA</w:t>
            </w:r>
          </w:p>
        </w:tc>
        <w:tc>
          <w:tcPr>
            <w:tcW w:w="2618" w:type="dxa"/>
            <w:hideMark/>
          </w:tcPr>
          <w:p w14:paraId="2EA95EF3" w14:textId="77777777" w:rsidR="002B20CA" w:rsidRPr="00A059C1" w:rsidRDefault="002B20CA" w:rsidP="00373E9F">
            <w:pPr>
              <w:cnfStyle w:val="000000000000" w:firstRow="0" w:lastRow="0" w:firstColumn="0" w:lastColumn="0" w:oddVBand="0" w:evenVBand="0" w:oddHBand="0" w:evenHBand="0" w:firstRowFirstColumn="0" w:firstRowLastColumn="0" w:lastRowFirstColumn="0" w:lastRowLastColumn="0"/>
              <w:rPr>
                <w:rFonts w:ascii="Abadi Extra Light" w:eastAsia="Times New Roman" w:hAnsi="Abadi Extra Light" w:cs="Calibri"/>
                <w:color w:val="000000"/>
                <w:szCs w:val="18"/>
                <w:lang w:val="en-KE" w:eastAsia="en-KE"/>
              </w:rPr>
            </w:pPr>
            <w:r w:rsidRPr="00A059C1">
              <w:rPr>
                <w:rFonts w:ascii="Abadi Extra Light" w:eastAsia="Times New Roman" w:hAnsi="Abadi Extra Light" w:cs="Calibri"/>
                <w:color w:val="000000"/>
                <w:szCs w:val="18"/>
                <w:lang w:val="en-KE" w:eastAsia="en-KE"/>
              </w:rPr>
              <w:t>CS Treasury</w:t>
            </w:r>
          </w:p>
        </w:tc>
        <w:tc>
          <w:tcPr>
            <w:tcW w:w="2083" w:type="dxa"/>
            <w:hideMark/>
          </w:tcPr>
          <w:p w14:paraId="32AC4DDF" w14:textId="77777777" w:rsidR="002B20CA" w:rsidRPr="00A059C1" w:rsidRDefault="002B20CA" w:rsidP="00373E9F">
            <w:pPr>
              <w:cnfStyle w:val="000000000000" w:firstRow="0" w:lastRow="0" w:firstColumn="0" w:lastColumn="0" w:oddVBand="0" w:evenVBand="0" w:oddHBand="0" w:evenHBand="0" w:firstRowFirstColumn="0" w:firstRowLastColumn="0" w:lastRowFirstColumn="0" w:lastRowLastColumn="0"/>
              <w:rPr>
                <w:rFonts w:ascii="Abadi Extra Light" w:eastAsia="Times New Roman" w:hAnsi="Abadi Extra Light" w:cs="Calibri"/>
                <w:color w:val="000000"/>
                <w:szCs w:val="18"/>
                <w:lang w:val="en-KE" w:eastAsia="en-KE"/>
              </w:rPr>
            </w:pPr>
            <w:r w:rsidRPr="00A059C1">
              <w:rPr>
                <w:rFonts w:ascii="Abadi Extra Light" w:eastAsia="Times New Roman" w:hAnsi="Abadi Extra Light" w:cs="Calibri"/>
                <w:color w:val="000000"/>
                <w:szCs w:val="18"/>
                <w:lang w:val="en-KE" w:eastAsia="en-KE"/>
              </w:rPr>
              <w:t>Within 2 months of 1st withdrawal</w:t>
            </w:r>
          </w:p>
        </w:tc>
        <w:tc>
          <w:tcPr>
            <w:tcW w:w="1402" w:type="dxa"/>
            <w:noWrap/>
            <w:hideMark/>
          </w:tcPr>
          <w:p w14:paraId="17342354" w14:textId="77777777" w:rsidR="002B20CA" w:rsidRPr="00A059C1" w:rsidRDefault="002B20CA" w:rsidP="00373E9F">
            <w:pPr>
              <w:cnfStyle w:val="000000000000" w:firstRow="0" w:lastRow="0" w:firstColumn="0" w:lastColumn="0" w:oddVBand="0" w:evenVBand="0" w:oddHBand="0" w:evenHBand="0" w:firstRowFirstColumn="0" w:firstRowLastColumn="0" w:lastRowFirstColumn="0" w:lastRowLastColumn="0"/>
              <w:rPr>
                <w:rFonts w:ascii="Abadi Extra Light" w:eastAsia="Times New Roman" w:hAnsi="Abadi Extra Light" w:cs="Calibri"/>
                <w:color w:val="000000"/>
                <w:szCs w:val="18"/>
                <w:lang w:val="en-KE" w:eastAsia="en-KE"/>
              </w:rPr>
            </w:pPr>
          </w:p>
        </w:tc>
      </w:tr>
      <w:tr w:rsidR="00AB07D3" w:rsidRPr="00B14357" w14:paraId="09BE7BDC" w14:textId="77777777" w:rsidTr="00AB07D3">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039" w:type="dxa"/>
            <w:noWrap/>
            <w:hideMark/>
          </w:tcPr>
          <w:p w14:paraId="09CAA1BF" w14:textId="77777777" w:rsidR="002B20CA" w:rsidRPr="00A059C1" w:rsidRDefault="002B20CA" w:rsidP="00373E9F">
            <w:pPr>
              <w:rPr>
                <w:rFonts w:ascii="Abadi Extra Light" w:eastAsia="Times New Roman" w:hAnsi="Abadi Extra Light" w:cs="Calibri"/>
                <w:b w:val="0"/>
                <w:bCs w:val="0"/>
                <w:color w:val="000000"/>
                <w:szCs w:val="18"/>
                <w:lang w:val="en-KE" w:eastAsia="en-KE"/>
              </w:rPr>
            </w:pPr>
            <w:r w:rsidRPr="00A059C1">
              <w:rPr>
                <w:rFonts w:ascii="Abadi Extra Light" w:eastAsia="Times New Roman" w:hAnsi="Abadi Extra Light" w:cs="Calibri"/>
                <w:b w:val="0"/>
                <w:bCs w:val="0"/>
                <w:color w:val="000000"/>
                <w:szCs w:val="18"/>
                <w:lang w:val="en-KE" w:eastAsia="en-KE"/>
              </w:rPr>
              <w:t>Approval by NA</w:t>
            </w:r>
          </w:p>
        </w:tc>
        <w:tc>
          <w:tcPr>
            <w:tcW w:w="2618" w:type="dxa"/>
            <w:hideMark/>
          </w:tcPr>
          <w:p w14:paraId="3DABD914" w14:textId="77777777" w:rsidR="002B20CA" w:rsidRPr="00A059C1" w:rsidRDefault="002B20CA" w:rsidP="00373E9F">
            <w:pPr>
              <w:cnfStyle w:val="000000100000" w:firstRow="0" w:lastRow="0" w:firstColumn="0" w:lastColumn="0" w:oddVBand="0" w:evenVBand="0" w:oddHBand="1" w:evenHBand="0" w:firstRowFirstColumn="0" w:firstRowLastColumn="0" w:lastRowFirstColumn="0" w:lastRowLastColumn="0"/>
              <w:rPr>
                <w:rFonts w:ascii="Abadi Extra Light" w:eastAsia="Times New Roman" w:hAnsi="Abadi Extra Light" w:cs="Calibri"/>
                <w:color w:val="000000"/>
                <w:szCs w:val="18"/>
                <w:lang w:val="en-KE" w:eastAsia="en-KE"/>
              </w:rPr>
            </w:pPr>
            <w:r w:rsidRPr="00A059C1">
              <w:rPr>
                <w:rFonts w:ascii="Abadi Extra Light" w:eastAsia="Times New Roman" w:hAnsi="Abadi Extra Light" w:cs="Calibri"/>
                <w:color w:val="000000"/>
                <w:szCs w:val="18"/>
                <w:lang w:val="en-KE" w:eastAsia="en-KE"/>
              </w:rPr>
              <w:t>Parliament</w:t>
            </w:r>
          </w:p>
        </w:tc>
        <w:tc>
          <w:tcPr>
            <w:tcW w:w="2083" w:type="dxa"/>
            <w:noWrap/>
            <w:hideMark/>
          </w:tcPr>
          <w:p w14:paraId="04B3B30E" w14:textId="77777777" w:rsidR="002B20CA" w:rsidRPr="00A059C1" w:rsidRDefault="002B20CA" w:rsidP="00373E9F">
            <w:pPr>
              <w:cnfStyle w:val="000000100000" w:firstRow="0" w:lastRow="0" w:firstColumn="0" w:lastColumn="0" w:oddVBand="0" w:evenVBand="0" w:oddHBand="1" w:evenHBand="0" w:firstRowFirstColumn="0" w:firstRowLastColumn="0" w:lastRowFirstColumn="0" w:lastRowLastColumn="0"/>
              <w:rPr>
                <w:rFonts w:ascii="Abadi Extra Light" w:eastAsia="Times New Roman" w:hAnsi="Abadi Extra Light" w:cs="Calibri"/>
                <w:color w:val="000000"/>
                <w:szCs w:val="18"/>
                <w:lang w:val="en-KE" w:eastAsia="en-KE"/>
              </w:rPr>
            </w:pPr>
          </w:p>
        </w:tc>
        <w:tc>
          <w:tcPr>
            <w:tcW w:w="1402" w:type="dxa"/>
            <w:shd w:val="clear" w:color="auto" w:fill="C00000"/>
            <w:noWrap/>
            <w:hideMark/>
          </w:tcPr>
          <w:p w14:paraId="7CE8CAF1" w14:textId="77777777" w:rsidR="002B20CA" w:rsidRPr="00A059C1" w:rsidRDefault="002B20CA" w:rsidP="00373E9F">
            <w:pPr>
              <w:cnfStyle w:val="000000100000" w:firstRow="0" w:lastRow="0" w:firstColumn="0" w:lastColumn="0" w:oddVBand="0" w:evenVBand="0" w:oddHBand="1" w:evenHBand="0" w:firstRowFirstColumn="0" w:firstRowLastColumn="0" w:lastRowFirstColumn="0" w:lastRowLastColumn="0"/>
              <w:rPr>
                <w:rFonts w:ascii="Abadi Extra Light" w:eastAsia="Times New Roman" w:hAnsi="Abadi Extra Light" w:cs="Calibri"/>
                <w:color w:val="000000"/>
                <w:szCs w:val="18"/>
                <w:lang w:val="en-KE" w:eastAsia="en-KE"/>
              </w:rPr>
            </w:pPr>
            <w:r w:rsidRPr="00A059C1">
              <w:rPr>
                <w:rFonts w:ascii="Abadi Extra Light" w:eastAsia="Times New Roman" w:hAnsi="Abadi Extra Light" w:cs="Calibri"/>
                <w:color w:val="000000"/>
                <w:szCs w:val="18"/>
                <w:lang w:val="en-KE" w:eastAsia="en-KE"/>
              </w:rPr>
              <w:t> </w:t>
            </w:r>
          </w:p>
        </w:tc>
      </w:tr>
    </w:tbl>
    <w:p w14:paraId="449DC4C1" w14:textId="77777777" w:rsidR="00086021" w:rsidRDefault="009E19AB">
      <w:pPr>
        <w:pStyle w:val="BodyText"/>
        <w:rPr>
          <w:i/>
          <w:iCs/>
          <w:sz w:val="16"/>
          <w:szCs w:val="16"/>
        </w:rPr>
      </w:pPr>
      <w:r>
        <w:rPr>
          <w:i/>
          <w:iCs/>
          <w:sz w:val="16"/>
          <w:szCs w:val="16"/>
        </w:rPr>
        <w:t>Source: Analysis by Consultant drawn from PFM Act, 2012</w:t>
      </w:r>
    </w:p>
    <w:p w14:paraId="7391E891" w14:textId="77777777" w:rsidR="00086021" w:rsidRDefault="00086021"/>
    <w:p w14:paraId="2A36FAF8" w14:textId="77777777" w:rsidR="00086021" w:rsidRDefault="00086021"/>
    <w:p w14:paraId="1A46CE11" w14:textId="77777777" w:rsidR="00086021" w:rsidRDefault="00086021"/>
    <w:p w14:paraId="295C3114" w14:textId="77777777" w:rsidR="00086021" w:rsidRDefault="009E19AB">
      <w:pPr>
        <w:pStyle w:val="Heading3"/>
      </w:pPr>
      <w:r>
        <w:lastRenderedPageBreak/>
        <w:t>Annex 8: Summary and Timelines of Budget Process in Kenya (County Government)</w:t>
      </w:r>
    </w:p>
    <w:p w14:paraId="50D38A01" w14:textId="77777777" w:rsidR="00086021" w:rsidRDefault="00086021"/>
    <w:tbl>
      <w:tblPr>
        <w:tblStyle w:val="GridTable4-Accent6"/>
        <w:tblW w:w="928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667"/>
        <w:gridCol w:w="2044"/>
        <w:gridCol w:w="1339"/>
        <w:gridCol w:w="1237"/>
      </w:tblGrid>
      <w:tr w:rsidR="00AB07D3" w:rsidRPr="00AB07D3" w14:paraId="3EC425DA" w14:textId="77777777" w:rsidTr="00AB07D3">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4667" w:type="dxa"/>
            <w:shd w:val="clear" w:color="auto" w:fill="8ACC8E"/>
            <w:noWrap/>
            <w:hideMark/>
          </w:tcPr>
          <w:p w14:paraId="481DBE25" w14:textId="77777777" w:rsidR="00AB07D3" w:rsidRPr="00AB07D3" w:rsidRDefault="00AB07D3" w:rsidP="00373E9F">
            <w:pPr>
              <w:rPr>
                <w:rFonts w:ascii="Franklin Gothic Demi" w:eastAsia="Times New Roman" w:hAnsi="Franklin Gothic Demi" w:cs="Calibri"/>
                <w:b w:val="0"/>
                <w:bCs w:val="0"/>
                <w:color w:val="auto"/>
                <w:sz w:val="20"/>
                <w:szCs w:val="20"/>
                <w:lang w:val="en-KE" w:eastAsia="en-KE"/>
              </w:rPr>
            </w:pPr>
            <w:r w:rsidRPr="00AB07D3">
              <w:rPr>
                <w:rFonts w:ascii="Franklin Gothic Demi" w:eastAsia="Times New Roman" w:hAnsi="Franklin Gothic Demi" w:cs="Calibri"/>
                <w:b w:val="0"/>
                <w:bCs w:val="0"/>
                <w:color w:val="auto"/>
                <w:sz w:val="20"/>
                <w:szCs w:val="20"/>
                <w:lang w:val="en-KE" w:eastAsia="en-KE"/>
              </w:rPr>
              <w:t>Step</w:t>
            </w:r>
          </w:p>
        </w:tc>
        <w:tc>
          <w:tcPr>
            <w:tcW w:w="2044" w:type="dxa"/>
            <w:shd w:val="clear" w:color="auto" w:fill="8ACC8E"/>
            <w:noWrap/>
            <w:hideMark/>
          </w:tcPr>
          <w:p w14:paraId="38145A33" w14:textId="77777777" w:rsidR="00AB07D3" w:rsidRPr="00AB07D3" w:rsidRDefault="00AB07D3" w:rsidP="00373E9F">
            <w:pPr>
              <w:cnfStyle w:val="100000000000" w:firstRow="1" w:lastRow="0" w:firstColumn="0" w:lastColumn="0" w:oddVBand="0" w:evenVBand="0" w:oddHBand="0" w:evenHBand="0" w:firstRowFirstColumn="0" w:firstRowLastColumn="0" w:lastRowFirstColumn="0" w:lastRowLastColumn="0"/>
              <w:rPr>
                <w:rFonts w:ascii="Franklin Gothic Demi" w:eastAsia="Times New Roman" w:hAnsi="Franklin Gothic Demi" w:cs="Calibri"/>
                <w:b w:val="0"/>
                <w:bCs w:val="0"/>
                <w:color w:val="auto"/>
                <w:sz w:val="20"/>
                <w:szCs w:val="20"/>
                <w:lang w:val="en-KE" w:eastAsia="en-KE"/>
              </w:rPr>
            </w:pPr>
            <w:r w:rsidRPr="00AB07D3">
              <w:rPr>
                <w:rFonts w:ascii="Franklin Gothic Demi" w:eastAsia="Times New Roman" w:hAnsi="Franklin Gothic Demi" w:cs="Calibri"/>
                <w:b w:val="0"/>
                <w:bCs w:val="0"/>
                <w:color w:val="auto"/>
                <w:sz w:val="20"/>
                <w:szCs w:val="20"/>
                <w:lang w:val="en-KE" w:eastAsia="en-KE"/>
              </w:rPr>
              <w:t>Who</w:t>
            </w:r>
          </w:p>
        </w:tc>
        <w:tc>
          <w:tcPr>
            <w:tcW w:w="1339" w:type="dxa"/>
            <w:shd w:val="clear" w:color="auto" w:fill="8ACC8E"/>
            <w:noWrap/>
            <w:hideMark/>
          </w:tcPr>
          <w:p w14:paraId="7FD51850" w14:textId="77777777" w:rsidR="00AB07D3" w:rsidRPr="00AB07D3" w:rsidRDefault="00AB07D3" w:rsidP="00373E9F">
            <w:pPr>
              <w:cnfStyle w:val="100000000000" w:firstRow="1" w:lastRow="0" w:firstColumn="0" w:lastColumn="0" w:oddVBand="0" w:evenVBand="0" w:oddHBand="0" w:evenHBand="0" w:firstRowFirstColumn="0" w:firstRowLastColumn="0" w:lastRowFirstColumn="0" w:lastRowLastColumn="0"/>
              <w:rPr>
                <w:rFonts w:ascii="Franklin Gothic Demi" w:eastAsia="Times New Roman" w:hAnsi="Franklin Gothic Demi" w:cs="Calibri"/>
                <w:b w:val="0"/>
                <w:bCs w:val="0"/>
                <w:color w:val="auto"/>
                <w:sz w:val="20"/>
                <w:szCs w:val="20"/>
                <w:lang w:val="en-KE" w:eastAsia="en-KE"/>
              </w:rPr>
            </w:pPr>
            <w:r w:rsidRPr="00AB07D3">
              <w:rPr>
                <w:rFonts w:ascii="Franklin Gothic Demi" w:eastAsia="Times New Roman" w:hAnsi="Franklin Gothic Demi" w:cs="Calibri"/>
                <w:b w:val="0"/>
                <w:bCs w:val="0"/>
                <w:color w:val="auto"/>
                <w:sz w:val="20"/>
                <w:szCs w:val="20"/>
                <w:lang w:val="en-KE" w:eastAsia="en-KE"/>
              </w:rPr>
              <w:t>When</w:t>
            </w:r>
          </w:p>
        </w:tc>
        <w:tc>
          <w:tcPr>
            <w:tcW w:w="1237" w:type="dxa"/>
            <w:shd w:val="clear" w:color="auto" w:fill="8ACC8E"/>
            <w:noWrap/>
            <w:hideMark/>
          </w:tcPr>
          <w:p w14:paraId="2D12A156" w14:textId="77777777" w:rsidR="00AB07D3" w:rsidRPr="00AB07D3" w:rsidRDefault="00AB07D3" w:rsidP="00373E9F">
            <w:pPr>
              <w:cnfStyle w:val="100000000000" w:firstRow="1" w:lastRow="0" w:firstColumn="0" w:lastColumn="0" w:oddVBand="0" w:evenVBand="0" w:oddHBand="0" w:evenHBand="0" w:firstRowFirstColumn="0" w:firstRowLastColumn="0" w:lastRowFirstColumn="0" w:lastRowLastColumn="0"/>
              <w:rPr>
                <w:rFonts w:ascii="Franklin Gothic Demi" w:eastAsia="Times New Roman" w:hAnsi="Franklin Gothic Demi" w:cs="Calibri"/>
                <w:b w:val="0"/>
                <w:bCs w:val="0"/>
                <w:color w:val="auto"/>
                <w:sz w:val="20"/>
                <w:szCs w:val="20"/>
                <w:lang w:val="en-KE" w:eastAsia="en-KE"/>
              </w:rPr>
            </w:pPr>
            <w:r w:rsidRPr="00AB07D3">
              <w:rPr>
                <w:rFonts w:ascii="Franklin Gothic Demi" w:eastAsia="Times New Roman" w:hAnsi="Franklin Gothic Demi" w:cs="Calibri"/>
                <w:b w:val="0"/>
                <w:bCs w:val="0"/>
                <w:color w:val="auto"/>
                <w:sz w:val="20"/>
                <w:szCs w:val="20"/>
                <w:lang w:val="en-KE" w:eastAsia="en-KE"/>
              </w:rPr>
              <w:t>Opportunity</w:t>
            </w:r>
          </w:p>
        </w:tc>
      </w:tr>
      <w:tr w:rsidR="00AB07D3" w:rsidRPr="0021178B" w14:paraId="071E5574" w14:textId="77777777" w:rsidTr="00AB07D3">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4667" w:type="dxa"/>
            <w:noWrap/>
            <w:hideMark/>
          </w:tcPr>
          <w:p w14:paraId="05ECEC39" w14:textId="77777777" w:rsidR="00AB07D3" w:rsidRPr="00BF5DF5" w:rsidRDefault="00AB07D3" w:rsidP="00373E9F">
            <w:pPr>
              <w:rPr>
                <w:rFonts w:ascii="Franklin Gothic Demi" w:eastAsia="Times New Roman" w:hAnsi="Franklin Gothic Demi" w:cs="Calibri"/>
                <w:b w:val="0"/>
                <w:bCs w:val="0"/>
                <w:color w:val="000000"/>
                <w:sz w:val="20"/>
                <w:szCs w:val="20"/>
                <w:lang w:val="en-KE" w:eastAsia="en-KE"/>
              </w:rPr>
            </w:pPr>
            <w:r w:rsidRPr="00BF5DF5">
              <w:rPr>
                <w:rFonts w:ascii="Franklin Gothic Demi" w:eastAsia="Times New Roman" w:hAnsi="Franklin Gothic Demi" w:cs="Calibri"/>
                <w:b w:val="0"/>
                <w:bCs w:val="0"/>
                <w:color w:val="000000"/>
                <w:sz w:val="20"/>
                <w:szCs w:val="20"/>
                <w:lang w:val="en-KE" w:eastAsia="en-KE"/>
              </w:rPr>
              <w:t>County Fiscal S</w:t>
            </w:r>
            <w:r w:rsidRPr="0021178B">
              <w:rPr>
                <w:rFonts w:ascii="Franklin Gothic Demi" w:eastAsia="Times New Roman" w:hAnsi="Franklin Gothic Demi" w:cs="Calibri"/>
                <w:b w:val="0"/>
                <w:bCs w:val="0"/>
                <w:color w:val="000000"/>
                <w:sz w:val="20"/>
                <w:szCs w:val="20"/>
                <w:lang w:eastAsia="en-KE"/>
              </w:rPr>
              <w:t>t</w:t>
            </w:r>
            <w:r w:rsidRPr="00BF5DF5">
              <w:rPr>
                <w:rFonts w:ascii="Franklin Gothic Demi" w:eastAsia="Times New Roman" w:hAnsi="Franklin Gothic Demi" w:cs="Calibri"/>
                <w:b w:val="0"/>
                <w:bCs w:val="0"/>
                <w:color w:val="000000"/>
                <w:sz w:val="20"/>
                <w:szCs w:val="20"/>
                <w:lang w:val="en-KE" w:eastAsia="en-KE"/>
              </w:rPr>
              <w:t>rategy Paper</w:t>
            </w:r>
          </w:p>
        </w:tc>
        <w:tc>
          <w:tcPr>
            <w:tcW w:w="2044" w:type="dxa"/>
            <w:noWrap/>
            <w:hideMark/>
          </w:tcPr>
          <w:p w14:paraId="6D2EF9E1" w14:textId="77777777" w:rsidR="00AB07D3" w:rsidRPr="00BF5DF5" w:rsidRDefault="00AB07D3" w:rsidP="00373E9F">
            <w:pPr>
              <w:cnfStyle w:val="000000100000" w:firstRow="0" w:lastRow="0" w:firstColumn="0" w:lastColumn="0" w:oddVBand="0" w:evenVBand="0" w:oddHBand="1" w:evenHBand="0" w:firstRowFirstColumn="0" w:firstRowLastColumn="0" w:lastRowFirstColumn="0" w:lastRowLastColumn="0"/>
              <w:rPr>
                <w:rFonts w:ascii="Franklin Gothic Demi" w:eastAsia="Times New Roman" w:hAnsi="Franklin Gothic Demi" w:cs="Calibri"/>
                <w:color w:val="000000"/>
                <w:sz w:val="20"/>
                <w:szCs w:val="20"/>
                <w:lang w:val="en-KE" w:eastAsia="en-KE"/>
              </w:rPr>
            </w:pPr>
          </w:p>
        </w:tc>
        <w:tc>
          <w:tcPr>
            <w:tcW w:w="1339" w:type="dxa"/>
            <w:noWrap/>
            <w:hideMark/>
          </w:tcPr>
          <w:p w14:paraId="3E352F44" w14:textId="77777777" w:rsidR="00AB07D3" w:rsidRPr="00BF5DF5" w:rsidRDefault="00AB07D3" w:rsidP="00373E9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KE" w:eastAsia="en-KE"/>
              </w:rPr>
            </w:pPr>
          </w:p>
        </w:tc>
        <w:tc>
          <w:tcPr>
            <w:tcW w:w="1237" w:type="dxa"/>
            <w:noWrap/>
            <w:hideMark/>
          </w:tcPr>
          <w:p w14:paraId="1963075E" w14:textId="77777777" w:rsidR="00AB07D3" w:rsidRPr="00BF5DF5" w:rsidRDefault="00AB07D3" w:rsidP="00373E9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KE" w:eastAsia="en-KE"/>
              </w:rPr>
            </w:pPr>
          </w:p>
        </w:tc>
      </w:tr>
      <w:tr w:rsidR="00AB07D3" w:rsidRPr="00BF5DF5" w14:paraId="7BBAAD19" w14:textId="77777777" w:rsidTr="00AB07D3">
        <w:trPr>
          <w:trHeight w:val="296"/>
        </w:trPr>
        <w:tc>
          <w:tcPr>
            <w:cnfStyle w:val="001000000000" w:firstRow="0" w:lastRow="0" w:firstColumn="1" w:lastColumn="0" w:oddVBand="0" w:evenVBand="0" w:oddHBand="0" w:evenHBand="0" w:firstRowFirstColumn="0" w:firstRowLastColumn="0" w:lastRowFirstColumn="0" w:lastRowLastColumn="0"/>
            <w:tcW w:w="4667" w:type="dxa"/>
            <w:noWrap/>
            <w:hideMark/>
          </w:tcPr>
          <w:p w14:paraId="31C0EE60" w14:textId="77777777" w:rsidR="00AB07D3" w:rsidRPr="00BF5DF5" w:rsidRDefault="00AB07D3" w:rsidP="00373E9F">
            <w:pPr>
              <w:rPr>
                <w:rFonts w:ascii="Abadi Extra Light" w:eastAsia="Times New Roman" w:hAnsi="Abadi Extra Light" w:cs="Calibri"/>
                <w:b w:val="0"/>
                <w:bCs w:val="0"/>
                <w:color w:val="000000"/>
                <w:sz w:val="20"/>
                <w:szCs w:val="20"/>
                <w:lang w:val="en-KE" w:eastAsia="en-KE"/>
              </w:rPr>
            </w:pPr>
            <w:r w:rsidRPr="00BF5DF5">
              <w:rPr>
                <w:rFonts w:ascii="Abadi Extra Light" w:eastAsia="Times New Roman" w:hAnsi="Abadi Extra Light" w:cs="Calibri"/>
                <w:b w:val="0"/>
                <w:bCs w:val="0"/>
                <w:color w:val="000000"/>
                <w:sz w:val="20"/>
                <w:szCs w:val="20"/>
                <w:lang w:val="en-KE" w:eastAsia="en-KE"/>
              </w:rPr>
              <w:t>Preparation &amp; Submission to County Exec Cttee</w:t>
            </w:r>
          </w:p>
        </w:tc>
        <w:tc>
          <w:tcPr>
            <w:tcW w:w="2044" w:type="dxa"/>
            <w:noWrap/>
            <w:hideMark/>
          </w:tcPr>
          <w:p w14:paraId="5185AB4C" w14:textId="77777777" w:rsidR="00AB07D3" w:rsidRPr="00BF5DF5" w:rsidRDefault="00AB07D3" w:rsidP="00373E9F">
            <w:pPr>
              <w:cnfStyle w:val="000000000000" w:firstRow="0" w:lastRow="0" w:firstColumn="0" w:lastColumn="0" w:oddVBand="0" w:evenVBand="0" w:oddHBand="0" w:evenHBand="0" w:firstRowFirstColumn="0" w:firstRowLastColumn="0" w:lastRowFirstColumn="0" w:lastRowLastColumn="0"/>
              <w:rPr>
                <w:rFonts w:ascii="Abadi Extra Light" w:eastAsia="Times New Roman" w:hAnsi="Abadi Extra Light" w:cs="Calibri"/>
                <w:color w:val="000000"/>
                <w:sz w:val="20"/>
                <w:szCs w:val="20"/>
                <w:lang w:val="en-KE" w:eastAsia="en-KE"/>
              </w:rPr>
            </w:pPr>
            <w:r w:rsidRPr="00BF5DF5">
              <w:rPr>
                <w:rFonts w:ascii="Abadi Extra Light" w:eastAsia="Times New Roman" w:hAnsi="Abadi Extra Light" w:cs="Calibri"/>
                <w:color w:val="000000"/>
                <w:sz w:val="20"/>
                <w:szCs w:val="20"/>
                <w:lang w:val="en-KE" w:eastAsia="en-KE"/>
              </w:rPr>
              <w:t>County Treasury</w:t>
            </w:r>
          </w:p>
        </w:tc>
        <w:tc>
          <w:tcPr>
            <w:tcW w:w="1339" w:type="dxa"/>
            <w:noWrap/>
            <w:hideMark/>
          </w:tcPr>
          <w:p w14:paraId="100954F5" w14:textId="77777777" w:rsidR="00AB07D3" w:rsidRPr="00BF5DF5" w:rsidRDefault="00AB07D3" w:rsidP="00373E9F">
            <w:pPr>
              <w:cnfStyle w:val="000000000000" w:firstRow="0" w:lastRow="0" w:firstColumn="0" w:lastColumn="0" w:oddVBand="0" w:evenVBand="0" w:oddHBand="0" w:evenHBand="0" w:firstRowFirstColumn="0" w:firstRowLastColumn="0" w:lastRowFirstColumn="0" w:lastRowLastColumn="0"/>
              <w:rPr>
                <w:rFonts w:ascii="Abadi Extra Light" w:eastAsia="Times New Roman" w:hAnsi="Abadi Extra Light" w:cs="Calibri"/>
                <w:color w:val="000000"/>
                <w:sz w:val="20"/>
                <w:szCs w:val="20"/>
                <w:lang w:val="en-KE" w:eastAsia="en-KE"/>
              </w:rPr>
            </w:pPr>
            <w:r w:rsidRPr="00BF5DF5">
              <w:rPr>
                <w:rFonts w:ascii="Abadi Extra Light" w:eastAsia="Times New Roman" w:hAnsi="Abadi Extra Light" w:cs="Calibri"/>
                <w:color w:val="000000"/>
                <w:sz w:val="20"/>
                <w:szCs w:val="20"/>
                <w:lang w:val="en-KE" w:eastAsia="en-KE"/>
              </w:rPr>
              <w:t>15th Feb</w:t>
            </w:r>
          </w:p>
        </w:tc>
        <w:tc>
          <w:tcPr>
            <w:tcW w:w="1237" w:type="dxa"/>
            <w:noWrap/>
            <w:hideMark/>
          </w:tcPr>
          <w:p w14:paraId="510D0662" w14:textId="77777777" w:rsidR="00AB07D3" w:rsidRPr="00BF5DF5" w:rsidRDefault="00AB07D3" w:rsidP="00373E9F">
            <w:pPr>
              <w:cnfStyle w:val="000000000000" w:firstRow="0" w:lastRow="0" w:firstColumn="0" w:lastColumn="0" w:oddVBand="0" w:evenVBand="0" w:oddHBand="0" w:evenHBand="0" w:firstRowFirstColumn="0" w:firstRowLastColumn="0" w:lastRowFirstColumn="0" w:lastRowLastColumn="0"/>
              <w:rPr>
                <w:rFonts w:ascii="Abadi Extra Light" w:eastAsia="Times New Roman" w:hAnsi="Abadi Extra Light" w:cs="Calibri"/>
                <w:color w:val="000000"/>
                <w:sz w:val="20"/>
                <w:szCs w:val="20"/>
                <w:lang w:val="en-KE" w:eastAsia="en-KE"/>
              </w:rPr>
            </w:pPr>
          </w:p>
        </w:tc>
      </w:tr>
      <w:tr w:rsidR="00AB07D3" w:rsidRPr="0021178B" w14:paraId="60A27345" w14:textId="77777777" w:rsidTr="00AB07D3">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4667" w:type="dxa"/>
            <w:noWrap/>
            <w:hideMark/>
          </w:tcPr>
          <w:p w14:paraId="438F8D92" w14:textId="77777777" w:rsidR="00AB07D3" w:rsidRPr="00BF5DF5" w:rsidRDefault="00AB07D3" w:rsidP="00373E9F">
            <w:pPr>
              <w:rPr>
                <w:rFonts w:ascii="Abadi Extra Light" w:eastAsia="Times New Roman" w:hAnsi="Abadi Extra Light" w:cs="Calibri"/>
                <w:b w:val="0"/>
                <w:bCs w:val="0"/>
                <w:color w:val="000000"/>
                <w:sz w:val="20"/>
                <w:szCs w:val="20"/>
                <w:lang w:val="en-KE" w:eastAsia="en-KE"/>
              </w:rPr>
            </w:pPr>
            <w:r w:rsidRPr="00BF5DF5">
              <w:rPr>
                <w:rFonts w:ascii="Abadi Extra Light" w:eastAsia="Times New Roman" w:hAnsi="Abadi Extra Light" w:cs="Calibri"/>
                <w:b w:val="0"/>
                <w:bCs w:val="0"/>
                <w:color w:val="000000"/>
                <w:sz w:val="20"/>
                <w:szCs w:val="20"/>
                <w:lang w:val="en-KE" w:eastAsia="en-KE"/>
              </w:rPr>
              <w:t>Preparation &amp; Submission to County Assembly</w:t>
            </w:r>
          </w:p>
        </w:tc>
        <w:tc>
          <w:tcPr>
            <w:tcW w:w="2044" w:type="dxa"/>
            <w:noWrap/>
            <w:hideMark/>
          </w:tcPr>
          <w:p w14:paraId="7536ECAF" w14:textId="77777777" w:rsidR="00AB07D3" w:rsidRPr="00BF5DF5" w:rsidRDefault="00AB07D3" w:rsidP="00373E9F">
            <w:pPr>
              <w:cnfStyle w:val="000000100000" w:firstRow="0" w:lastRow="0" w:firstColumn="0" w:lastColumn="0" w:oddVBand="0" w:evenVBand="0" w:oddHBand="1" w:evenHBand="0" w:firstRowFirstColumn="0" w:firstRowLastColumn="0" w:lastRowFirstColumn="0" w:lastRowLastColumn="0"/>
              <w:rPr>
                <w:rFonts w:ascii="Abadi Extra Light" w:eastAsia="Times New Roman" w:hAnsi="Abadi Extra Light" w:cs="Calibri"/>
                <w:color w:val="000000"/>
                <w:sz w:val="20"/>
                <w:szCs w:val="20"/>
                <w:lang w:val="en-KE" w:eastAsia="en-KE"/>
              </w:rPr>
            </w:pPr>
            <w:r w:rsidRPr="00BF5DF5">
              <w:rPr>
                <w:rFonts w:ascii="Abadi Extra Light" w:eastAsia="Times New Roman" w:hAnsi="Abadi Extra Light" w:cs="Calibri"/>
                <w:color w:val="000000"/>
                <w:sz w:val="20"/>
                <w:szCs w:val="20"/>
                <w:lang w:val="en-KE" w:eastAsia="en-KE"/>
              </w:rPr>
              <w:t>County Treasury</w:t>
            </w:r>
          </w:p>
        </w:tc>
        <w:tc>
          <w:tcPr>
            <w:tcW w:w="1339" w:type="dxa"/>
            <w:noWrap/>
            <w:hideMark/>
          </w:tcPr>
          <w:p w14:paraId="5722DCD3" w14:textId="77777777" w:rsidR="00AB07D3" w:rsidRPr="00BF5DF5" w:rsidRDefault="00AB07D3" w:rsidP="00373E9F">
            <w:pPr>
              <w:cnfStyle w:val="000000100000" w:firstRow="0" w:lastRow="0" w:firstColumn="0" w:lastColumn="0" w:oddVBand="0" w:evenVBand="0" w:oddHBand="1" w:evenHBand="0" w:firstRowFirstColumn="0" w:firstRowLastColumn="0" w:lastRowFirstColumn="0" w:lastRowLastColumn="0"/>
              <w:rPr>
                <w:rFonts w:ascii="Abadi Extra Light" w:eastAsia="Times New Roman" w:hAnsi="Abadi Extra Light" w:cs="Calibri"/>
                <w:color w:val="000000"/>
                <w:sz w:val="20"/>
                <w:szCs w:val="20"/>
                <w:lang w:val="en-KE" w:eastAsia="en-KE"/>
              </w:rPr>
            </w:pPr>
            <w:r w:rsidRPr="00BF5DF5">
              <w:rPr>
                <w:rFonts w:ascii="Abadi Extra Light" w:eastAsia="Times New Roman" w:hAnsi="Abadi Extra Light" w:cs="Calibri"/>
                <w:color w:val="000000"/>
                <w:sz w:val="20"/>
                <w:szCs w:val="20"/>
                <w:lang w:val="en-KE" w:eastAsia="en-KE"/>
              </w:rPr>
              <w:t>28th Feb</w:t>
            </w:r>
          </w:p>
        </w:tc>
        <w:tc>
          <w:tcPr>
            <w:tcW w:w="1237" w:type="dxa"/>
            <w:noWrap/>
            <w:hideMark/>
          </w:tcPr>
          <w:p w14:paraId="6F7E702D" w14:textId="77777777" w:rsidR="00AB07D3" w:rsidRPr="00BF5DF5" w:rsidRDefault="00AB07D3" w:rsidP="00373E9F">
            <w:pPr>
              <w:cnfStyle w:val="000000100000" w:firstRow="0" w:lastRow="0" w:firstColumn="0" w:lastColumn="0" w:oddVBand="0" w:evenVBand="0" w:oddHBand="1" w:evenHBand="0" w:firstRowFirstColumn="0" w:firstRowLastColumn="0" w:lastRowFirstColumn="0" w:lastRowLastColumn="0"/>
              <w:rPr>
                <w:rFonts w:ascii="Abadi Extra Light" w:eastAsia="Times New Roman" w:hAnsi="Abadi Extra Light" w:cs="Calibri"/>
                <w:color w:val="000000"/>
                <w:sz w:val="20"/>
                <w:szCs w:val="20"/>
                <w:lang w:val="en-KE" w:eastAsia="en-KE"/>
              </w:rPr>
            </w:pPr>
          </w:p>
        </w:tc>
      </w:tr>
      <w:tr w:rsidR="00AB07D3" w:rsidRPr="00BF5DF5" w14:paraId="6C2E0AE1" w14:textId="77777777" w:rsidTr="00AB07D3">
        <w:trPr>
          <w:trHeight w:val="296"/>
        </w:trPr>
        <w:tc>
          <w:tcPr>
            <w:cnfStyle w:val="001000000000" w:firstRow="0" w:lastRow="0" w:firstColumn="1" w:lastColumn="0" w:oddVBand="0" w:evenVBand="0" w:oddHBand="0" w:evenHBand="0" w:firstRowFirstColumn="0" w:firstRowLastColumn="0" w:lastRowFirstColumn="0" w:lastRowLastColumn="0"/>
            <w:tcW w:w="4667" w:type="dxa"/>
            <w:noWrap/>
            <w:hideMark/>
          </w:tcPr>
          <w:p w14:paraId="532D00E5" w14:textId="77777777" w:rsidR="00AB07D3" w:rsidRPr="00BF5DF5" w:rsidRDefault="00AB07D3" w:rsidP="00373E9F">
            <w:pPr>
              <w:rPr>
                <w:rFonts w:ascii="Abadi Extra Light" w:eastAsia="Times New Roman" w:hAnsi="Abadi Extra Light" w:cs="Calibri"/>
                <w:b w:val="0"/>
                <w:bCs w:val="0"/>
                <w:color w:val="000000"/>
                <w:sz w:val="20"/>
                <w:szCs w:val="20"/>
                <w:lang w:val="en-KE" w:eastAsia="en-KE"/>
              </w:rPr>
            </w:pPr>
            <w:r w:rsidRPr="00BF5DF5">
              <w:rPr>
                <w:rFonts w:ascii="Abadi Extra Light" w:eastAsia="Times New Roman" w:hAnsi="Abadi Extra Light" w:cs="Calibri"/>
                <w:b w:val="0"/>
                <w:bCs w:val="0"/>
                <w:color w:val="000000"/>
                <w:sz w:val="20"/>
                <w:szCs w:val="20"/>
                <w:lang w:val="en-KE" w:eastAsia="en-KE"/>
              </w:rPr>
              <w:t>Publicize &amp; Publish</w:t>
            </w:r>
          </w:p>
        </w:tc>
        <w:tc>
          <w:tcPr>
            <w:tcW w:w="2044" w:type="dxa"/>
            <w:noWrap/>
            <w:hideMark/>
          </w:tcPr>
          <w:p w14:paraId="00884170" w14:textId="77777777" w:rsidR="00AB07D3" w:rsidRPr="00BF5DF5" w:rsidRDefault="00AB07D3" w:rsidP="00373E9F">
            <w:pPr>
              <w:cnfStyle w:val="000000000000" w:firstRow="0" w:lastRow="0" w:firstColumn="0" w:lastColumn="0" w:oddVBand="0" w:evenVBand="0" w:oddHBand="0" w:evenHBand="0" w:firstRowFirstColumn="0" w:firstRowLastColumn="0" w:lastRowFirstColumn="0" w:lastRowLastColumn="0"/>
              <w:rPr>
                <w:rFonts w:ascii="Abadi Extra Light" w:eastAsia="Times New Roman" w:hAnsi="Abadi Extra Light" w:cs="Calibri"/>
                <w:color w:val="000000"/>
                <w:sz w:val="20"/>
                <w:szCs w:val="20"/>
                <w:lang w:val="en-KE" w:eastAsia="en-KE"/>
              </w:rPr>
            </w:pPr>
            <w:r w:rsidRPr="00BF5DF5">
              <w:rPr>
                <w:rFonts w:ascii="Abadi Extra Light" w:eastAsia="Times New Roman" w:hAnsi="Abadi Extra Light" w:cs="Calibri"/>
                <w:color w:val="000000"/>
                <w:sz w:val="20"/>
                <w:szCs w:val="20"/>
                <w:lang w:val="en-KE" w:eastAsia="en-KE"/>
              </w:rPr>
              <w:t>County Treasury</w:t>
            </w:r>
          </w:p>
        </w:tc>
        <w:tc>
          <w:tcPr>
            <w:tcW w:w="1339" w:type="dxa"/>
            <w:noWrap/>
            <w:hideMark/>
          </w:tcPr>
          <w:p w14:paraId="06431CEA" w14:textId="77777777" w:rsidR="00AB07D3" w:rsidRPr="00BF5DF5" w:rsidRDefault="00AB07D3" w:rsidP="00373E9F">
            <w:pPr>
              <w:cnfStyle w:val="000000000000" w:firstRow="0" w:lastRow="0" w:firstColumn="0" w:lastColumn="0" w:oddVBand="0" w:evenVBand="0" w:oddHBand="0" w:evenHBand="0" w:firstRowFirstColumn="0" w:firstRowLastColumn="0" w:lastRowFirstColumn="0" w:lastRowLastColumn="0"/>
              <w:rPr>
                <w:rFonts w:ascii="Abadi Extra Light" w:eastAsia="Times New Roman" w:hAnsi="Abadi Extra Light" w:cs="Calibri"/>
                <w:color w:val="000000"/>
                <w:sz w:val="20"/>
                <w:szCs w:val="20"/>
                <w:lang w:val="en-KE" w:eastAsia="en-KE"/>
              </w:rPr>
            </w:pPr>
            <w:r w:rsidRPr="00BF5DF5">
              <w:rPr>
                <w:rFonts w:ascii="Abadi Extra Light" w:eastAsia="Times New Roman" w:hAnsi="Abadi Extra Light" w:cs="Calibri"/>
                <w:color w:val="000000"/>
                <w:sz w:val="20"/>
                <w:szCs w:val="20"/>
                <w:lang w:val="en-KE" w:eastAsia="en-KE"/>
              </w:rPr>
              <w:t>7th March</w:t>
            </w:r>
          </w:p>
        </w:tc>
        <w:tc>
          <w:tcPr>
            <w:tcW w:w="1237" w:type="dxa"/>
            <w:shd w:val="clear" w:color="auto" w:fill="C00000"/>
            <w:noWrap/>
            <w:hideMark/>
          </w:tcPr>
          <w:p w14:paraId="57B8EB77" w14:textId="77777777" w:rsidR="00AB07D3" w:rsidRPr="00BF5DF5" w:rsidRDefault="00AB07D3" w:rsidP="00373E9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KE" w:eastAsia="en-KE"/>
              </w:rPr>
            </w:pPr>
            <w:r w:rsidRPr="00BF5DF5">
              <w:rPr>
                <w:rFonts w:ascii="Calibri" w:eastAsia="Times New Roman" w:hAnsi="Calibri" w:cs="Calibri"/>
                <w:color w:val="000000"/>
                <w:sz w:val="20"/>
                <w:szCs w:val="20"/>
                <w:lang w:val="en-KE" w:eastAsia="en-KE"/>
              </w:rPr>
              <w:t> </w:t>
            </w:r>
          </w:p>
        </w:tc>
      </w:tr>
      <w:tr w:rsidR="00AB07D3" w:rsidRPr="0021178B" w14:paraId="1121F745" w14:textId="77777777" w:rsidTr="00AB07D3">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4667" w:type="dxa"/>
            <w:noWrap/>
            <w:hideMark/>
          </w:tcPr>
          <w:p w14:paraId="3D6441BD" w14:textId="77777777" w:rsidR="00AB07D3" w:rsidRPr="00BF5DF5" w:rsidRDefault="00AB07D3" w:rsidP="00373E9F">
            <w:pPr>
              <w:rPr>
                <w:rFonts w:ascii="Abadi Extra Light" w:eastAsia="Times New Roman" w:hAnsi="Abadi Extra Light" w:cs="Calibri"/>
                <w:b w:val="0"/>
                <w:bCs w:val="0"/>
                <w:color w:val="000000"/>
                <w:sz w:val="20"/>
                <w:szCs w:val="20"/>
                <w:lang w:val="en-KE" w:eastAsia="en-KE"/>
              </w:rPr>
            </w:pPr>
            <w:r w:rsidRPr="00BF5DF5">
              <w:rPr>
                <w:rFonts w:ascii="Abadi Extra Light" w:eastAsia="Times New Roman" w:hAnsi="Abadi Extra Light" w:cs="Calibri"/>
                <w:b w:val="0"/>
                <w:bCs w:val="0"/>
                <w:color w:val="000000"/>
                <w:sz w:val="20"/>
                <w:szCs w:val="20"/>
                <w:lang w:val="en-KE" w:eastAsia="en-KE"/>
              </w:rPr>
              <w:t>Approval</w:t>
            </w:r>
          </w:p>
        </w:tc>
        <w:tc>
          <w:tcPr>
            <w:tcW w:w="2044" w:type="dxa"/>
            <w:noWrap/>
            <w:hideMark/>
          </w:tcPr>
          <w:p w14:paraId="4A3ACDFF" w14:textId="77777777" w:rsidR="00AB07D3" w:rsidRPr="00BF5DF5" w:rsidRDefault="00AB07D3" w:rsidP="00373E9F">
            <w:pPr>
              <w:cnfStyle w:val="000000100000" w:firstRow="0" w:lastRow="0" w:firstColumn="0" w:lastColumn="0" w:oddVBand="0" w:evenVBand="0" w:oddHBand="1" w:evenHBand="0" w:firstRowFirstColumn="0" w:firstRowLastColumn="0" w:lastRowFirstColumn="0" w:lastRowLastColumn="0"/>
              <w:rPr>
                <w:rFonts w:ascii="Abadi Extra Light" w:eastAsia="Times New Roman" w:hAnsi="Abadi Extra Light" w:cs="Calibri"/>
                <w:color w:val="000000"/>
                <w:sz w:val="20"/>
                <w:szCs w:val="20"/>
                <w:lang w:val="en-KE" w:eastAsia="en-KE"/>
              </w:rPr>
            </w:pPr>
            <w:r w:rsidRPr="00BF5DF5">
              <w:rPr>
                <w:rFonts w:ascii="Abadi Extra Light" w:eastAsia="Times New Roman" w:hAnsi="Abadi Extra Light" w:cs="Calibri"/>
                <w:color w:val="000000"/>
                <w:sz w:val="20"/>
                <w:szCs w:val="20"/>
                <w:lang w:val="en-KE" w:eastAsia="en-KE"/>
              </w:rPr>
              <w:t>CEC/ County Assembly</w:t>
            </w:r>
          </w:p>
        </w:tc>
        <w:tc>
          <w:tcPr>
            <w:tcW w:w="1339" w:type="dxa"/>
            <w:noWrap/>
            <w:hideMark/>
          </w:tcPr>
          <w:p w14:paraId="4CFD7D69" w14:textId="77777777" w:rsidR="00AB07D3" w:rsidRPr="00BF5DF5" w:rsidRDefault="00AB07D3" w:rsidP="00373E9F">
            <w:pPr>
              <w:cnfStyle w:val="000000100000" w:firstRow="0" w:lastRow="0" w:firstColumn="0" w:lastColumn="0" w:oddVBand="0" w:evenVBand="0" w:oddHBand="1" w:evenHBand="0" w:firstRowFirstColumn="0" w:firstRowLastColumn="0" w:lastRowFirstColumn="0" w:lastRowLastColumn="0"/>
              <w:rPr>
                <w:rFonts w:ascii="Abadi Extra Light" w:eastAsia="Times New Roman" w:hAnsi="Abadi Extra Light" w:cs="Calibri"/>
                <w:color w:val="000000"/>
                <w:sz w:val="20"/>
                <w:szCs w:val="20"/>
                <w:lang w:val="en-KE" w:eastAsia="en-KE"/>
              </w:rPr>
            </w:pPr>
            <w:r w:rsidRPr="00BF5DF5">
              <w:rPr>
                <w:rFonts w:ascii="Abadi Extra Light" w:eastAsia="Times New Roman" w:hAnsi="Abadi Extra Light" w:cs="Calibri"/>
                <w:color w:val="000000"/>
                <w:sz w:val="20"/>
                <w:szCs w:val="20"/>
                <w:lang w:val="en-KE" w:eastAsia="en-KE"/>
              </w:rPr>
              <w:t>14th March</w:t>
            </w:r>
          </w:p>
        </w:tc>
        <w:tc>
          <w:tcPr>
            <w:tcW w:w="1237" w:type="dxa"/>
            <w:shd w:val="clear" w:color="auto" w:fill="C00000"/>
            <w:noWrap/>
            <w:hideMark/>
          </w:tcPr>
          <w:p w14:paraId="33C113D1" w14:textId="77777777" w:rsidR="00AB07D3" w:rsidRPr="00BF5DF5" w:rsidRDefault="00AB07D3" w:rsidP="00373E9F">
            <w:pPr>
              <w:cnfStyle w:val="000000100000" w:firstRow="0" w:lastRow="0" w:firstColumn="0" w:lastColumn="0" w:oddVBand="0" w:evenVBand="0" w:oddHBand="1" w:evenHBand="0" w:firstRowFirstColumn="0" w:firstRowLastColumn="0" w:lastRowFirstColumn="0" w:lastRowLastColumn="0"/>
              <w:rPr>
                <w:rFonts w:ascii="Abadi Extra Light" w:eastAsia="Times New Roman" w:hAnsi="Abadi Extra Light" w:cs="Calibri"/>
                <w:color w:val="000000"/>
                <w:sz w:val="20"/>
                <w:szCs w:val="20"/>
                <w:lang w:val="en-KE" w:eastAsia="en-KE"/>
              </w:rPr>
            </w:pPr>
          </w:p>
        </w:tc>
      </w:tr>
      <w:tr w:rsidR="00AB07D3" w:rsidRPr="00BF5DF5" w14:paraId="7A4D59CA" w14:textId="77777777" w:rsidTr="00AB07D3">
        <w:trPr>
          <w:trHeight w:val="306"/>
        </w:trPr>
        <w:tc>
          <w:tcPr>
            <w:cnfStyle w:val="001000000000" w:firstRow="0" w:lastRow="0" w:firstColumn="1" w:lastColumn="0" w:oddVBand="0" w:evenVBand="0" w:oddHBand="0" w:evenHBand="0" w:firstRowFirstColumn="0" w:firstRowLastColumn="0" w:lastRowFirstColumn="0" w:lastRowLastColumn="0"/>
            <w:tcW w:w="4667" w:type="dxa"/>
            <w:noWrap/>
            <w:hideMark/>
          </w:tcPr>
          <w:p w14:paraId="5F17CA56" w14:textId="77777777" w:rsidR="00AB07D3" w:rsidRPr="00BF5DF5" w:rsidRDefault="00AB07D3" w:rsidP="00373E9F">
            <w:pPr>
              <w:rPr>
                <w:rFonts w:ascii="Franklin Gothic Demi" w:eastAsia="Times New Roman" w:hAnsi="Franklin Gothic Demi" w:cs="Calibri"/>
                <w:b w:val="0"/>
                <w:bCs w:val="0"/>
                <w:color w:val="000000"/>
                <w:sz w:val="20"/>
                <w:szCs w:val="20"/>
                <w:lang w:val="en-KE" w:eastAsia="en-KE"/>
              </w:rPr>
            </w:pPr>
            <w:r w:rsidRPr="00BF5DF5">
              <w:rPr>
                <w:rFonts w:ascii="Franklin Gothic Demi" w:eastAsia="Times New Roman" w:hAnsi="Franklin Gothic Demi" w:cs="Calibri"/>
                <w:b w:val="0"/>
                <w:bCs w:val="0"/>
                <w:color w:val="000000"/>
                <w:sz w:val="20"/>
                <w:szCs w:val="20"/>
                <w:lang w:val="en-KE" w:eastAsia="en-KE"/>
              </w:rPr>
              <w:t>Budget Estimates &amp; Related Documents</w:t>
            </w:r>
          </w:p>
        </w:tc>
        <w:tc>
          <w:tcPr>
            <w:tcW w:w="2044" w:type="dxa"/>
            <w:noWrap/>
            <w:hideMark/>
          </w:tcPr>
          <w:p w14:paraId="2EBA2EE4" w14:textId="77777777" w:rsidR="00AB07D3" w:rsidRPr="00BF5DF5" w:rsidRDefault="00AB07D3" w:rsidP="00373E9F">
            <w:pPr>
              <w:cnfStyle w:val="000000000000" w:firstRow="0" w:lastRow="0" w:firstColumn="0" w:lastColumn="0" w:oddVBand="0" w:evenVBand="0" w:oddHBand="0" w:evenHBand="0" w:firstRowFirstColumn="0" w:firstRowLastColumn="0" w:lastRowFirstColumn="0" w:lastRowLastColumn="0"/>
              <w:rPr>
                <w:rFonts w:ascii="Franklin Gothic Demi" w:eastAsia="Times New Roman" w:hAnsi="Franklin Gothic Demi" w:cs="Calibri"/>
                <w:color w:val="000000"/>
                <w:sz w:val="20"/>
                <w:szCs w:val="20"/>
                <w:lang w:val="en-KE" w:eastAsia="en-KE"/>
              </w:rPr>
            </w:pPr>
          </w:p>
        </w:tc>
        <w:tc>
          <w:tcPr>
            <w:tcW w:w="1339" w:type="dxa"/>
            <w:noWrap/>
            <w:hideMark/>
          </w:tcPr>
          <w:p w14:paraId="37A5BF04" w14:textId="77777777" w:rsidR="00AB07D3" w:rsidRPr="00BF5DF5" w:rsidRDefault="00AB07D3" w:rsidP="00373E9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KE" w:eastAsia="en-KE"/>
              </w:rPr>
            </w:pPr>
          </w:p>
        </w:tc>
        <w:tc>
          <w:tcPr>
            <w:tcW w:w="1237" w:type="dxa"/>
            <w:noWrap/>
            <w:hideMark/>
          </w:tcPr>
          <w:p w14:paraId="6C9DBC4A" w14:textId="77777777" w:rsidR="00AB07D3" w:rsidRPr="00BF5DF5" w:rsidRDefault="00AB07D3" w:rsidP="00373E9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KE" w:eastAsia="en-KE"/>
              </w:rPr>
            </w:pPr>
          </w:p>
        </w:tc>
      </w:tr>
      <w:tr w:rsidR="00AB07D3" w:rsidRPr="0021178B" w14:paraId="53235749" w14:textId="77777777" w:rsidTr="00AB07D3">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4667" w:type="dxa"/>
            <w:noWrap/>
            <w:hideMark/>
          </w:tcPr>
          <w:p w14:paraId="047AA4C8" w14:textId="77777777" w:rsidR="00AB07D3" w:rsidRPr="00BF5DF5" w:rsidRDefault="00AB07D3" w:rsidP="00373E9F">
            <w:pPr>
              <w:rPr>
                <w:rFonts w:ascii="Abadi Extra Light" w:eastAsia="Times New Roman" w:hAnsi="Abadi Extra Light" w:cs="Calibri"/>
                <w:b w:val="0"/>
                <w:bCs w:val="0"/>
                <w:color w:val="000000"/>
                <w:sz w:val="20"/>
                <w:szCs w:val="20"/>
                <w:lang w:val="en-KE" w:eastAsia="en-KE"/>
              </w:rPr>
            </w:pPr>
            <w:r w:rsidRPr="00BF5DF5">
              <w:rPr>
                <w:rFonts w:ascii="Abadi Extra Light" w:eastAsia="Times New Roman" w:hAnsi="Abadi Extra Light" w:cs="Calibri"/>
                <w:b w:val="0"/>
                <w:bCs w:val="0"/>
                <w:color w:val="000000"/>
                <w:sz w:val="20"/>
                <w:szCs w:val="20"/>
                <w:lang w:val="en-KE" w:eastAsia="en-KE"/>
              </w:rPr>
              <w:t>Submission for approval to County Exec Cttee</w:t>
            </w:r>
          </w:p>
        </w:tc>
        <w:tc>
          <w:tcPr>
            <w:tcW w:w="2044" w:type="dxa"/>
            <w:noWrap/>
            <w:hideMark/>
          </w:tcPr>
          <w:p w14:paraId="70102CA6" w14:textId="77777777" w:rsidR="00AB07D3" w:rsidRPr="00BF5DF5" w:rsidRDefault="00AB07D3" w:rsidP="00373E9F">
            <w:pPr>
              <w:cnfStyle w:val="000000100000" w:firstRow="0" w:lastRow="0" w:firstColumn="0" w:lastColumn="0" w:oddVBand="0" w:evenVBand="0" w:oddHBand="1" w:evenHBand="0" w:firstRowFirstColumn="0" w:firstRowLastColumn="0" w:lastRowFirstColumn="0" w:lastRowLastColumn="0"/>
              <w:rPr>
                <w:rFonts w:ascii="Abadi Extra Light" w:eastAsia="Times New Roman" w:hAnsi="Abadi Extra Light" w:cs="Calibri"/>
                <w:color w:val="000000"/>
                <w:sz w:val="20"/>
                <w:szCs w:val="20"/>
                <w:lang w:val="en-KE" w:eastAsia="en-KE"/>
              </w:rPr>
            </w:pPr>
            <w:r w:rsidRPr="00BF5DF5">
              <w:rPr>
                <w:rFonts w:ascii="Abadi Extra Light" w:eastAsia="Times New Roman" w:hAnsi="Abadi Extra Light" w:cs="Calibri"/>
                <w:color w:val="000000"/>
                <w:sz w:val="20"/>
                <w:szCs w:val="20"/>
                <w:lang w:val="en-KE" w:eastAsia="en-KE"/>
              </w:rPr>
              <w:t>County Treasury</w:t>
            </w:r>
          </w:p>
        </w:tc>
        <w:tc>
          <w:tcPr>
            <w:tcW w:w="1339" w:type="dxa"/>
            <w:noWrap/>
            <w:hideMark/>
          </w:tcPr>
          <w:p w14:paraId="378DCBA6" w14:textId="77777777" w:rsidR="00AB07D3" w:rsidRPr="00BF5DF5" w:rsidRDefault="00AB07D3" w:rsidP="00373E9F">
            <w:pPr>
              <w:cnfStyle w:val="000000100000" w:firstRow="0" w:lastRow="0" w:firstColumn="0" w:lastColumn="0" w:oddVBand="0" w:evenVBand="0" w:oddHBand="1" w:evenHBand="0" w:firstRowFirstColumn="0" w:firstRowLastColumn="0" w:lastRowFirstColumn="0" w:lastRowLastColumn="0"/>
              <w:rPr>
                <w:rFonts w:ascii="Abadi Extra Light" w:eastAsia="Times New Roman" w:hAnsi="Abadi Extra Light" w:cs="Calibri"/>
                <w:color w:val="000000"/>
                <w:sz w:val="20"/>
                <w:szCs w:val="20"/>
                <w:lang w:val="en-KE" w:eastAsia="en-KE"/>
              </w:rPr>
            </w:pPr>
          </w:p>
        </w:tc>
        <w:tc>
          <w:tcPr>
            <w:tcW w:w="1237" w:type="dxa"/>
            <w:noWrap/>
            <w:hideMark/>
          </w:tcPr>
          <w:p w14:paraId="55CA7625" w14:textId="77777777" w:rsidR="00AB07D3" w:rsidRPr="00BF5DF5" w:rsidRDefault="00AB07D3" w:rsidP="00373E9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KE" w:eastAsia="en-KE"/>
              </w:rPr>
            </w:pPr>
          </w:p>
        </w:tc>
      </w:tr>
      <w:tr w:rsidR="00AB07D3" w:rsidRPr="00BF5DF5" w14:paraId="4001E6AE" w14:textId="77777777" w:rsidTr="00AB07D3">
        <w:trPr>
          <w:trHeight w:val="582"/>
        </w:trPr>
        <w:tc>
          <w:tcPr>
            <w:cnfStyle w:val="001000000000" w:firstRow="0" w:lastRow="0" w:firstColumn="1" w:lastColumn="0" w:oddVBand="0" w:evenVBand="0" w:oddHBand="0" w:evenHBand="0" w:firstRowFirstColumn="0" w:firstRowLastColumn="0" w:lastRowFirstColumn="0" w:lastRowLastColumn="0"/>
            <w:tcW w:w="4667" w:type="dxa"/>
            <w:noWrap/>
            <w:hideMark/>
          </w:tcPr>
          <w:p w14:paraId="0DD8704D" w14:textId="77777777" w:rsidR="00AB07D3" w:rsidRPr="00BF5DF5" w:rsidRDefault="00AB07D3" w:rsidP="00373E9F">
            <w:pPr>
              <w:rPr>
                <w:rFonts w:ascii="Abadi Extra Light" w:eastAsia="Times New Roman" w:hAnsi="Abadi Extra Light" w:cs="Calibri"/>
                <w:b w:val="0"/>
                <w:bCs w:val="0"/>
                <w:color w:val="000000"/>
                <w:sz w:val="20"/>
                <w:szCs w:val="20"/>
                <w:lang w:val="en-KE" w:eastAsia="en-KE"/>
              </w:rPr>
            </w:pPr>
            <w:r w:rsidRPr="00BF5DF5">
              <w:rPr>
                <w:rFonts w:ascii="Abadi Extra Light" w:eastAsia="Times New Roman" w:hAnsi="Abadi Extra Light" w:cs="Calibri"/>
                <w:b w:val="0"/>
                <w:bCs w:val="0"/>
                <w:color w:val="000000"/>
                <w:sz w:val="20"/>
                <w:szCs w:val="20"/>
                <w:lang w:val="en-KE" w:eastAsia="en-KE"/>
              </w:rPr>
              <w:t>Submission for approval to County Assembly</w:t>
            </w:r>
          </w:p>
        </w:tc>
        <w:tc>
          <w:tcPr>
            <w:tcW w:w="2044" w:type="dxa"/>
            <w:hideMark/>
          </w:tcPr>
          <w:p w14:paraId="4358F936" w14:textId="77777777" w:rsidR="00AB07D3" w:rsidRPr="00BF5DF5" w:rsidRDefault="00AB07D3" w:rsidP="00373E9F">
            <w:pPr>
              <w:cnfStyle w:val="000000000000" w:firstRow="0" w:lastRow="0" w:firstColumn="0" w:lastColumn="0" w:oddVBand="0" w:evenVBand="0" w:oddHBand="0" w:evenHBand="0" w:firstRowFirstColumn="0" w:firstRowLastColumn="0" w:lastRowFirstColumn="0" w:lastRowLastColumn="0"/>
              <w:rPr>
                <w:rFonts w:ascii="Abadi Extra Light" w:eastAsia="Times New Roman" w:hAnsi="Abadi Extra Light" w:cs="Calibri"/>
                <w:color w:val="000000"/>
                <w:sz w:val="20"/>
                <w:szCs w:val="20"/>
                <w:lang w:val="en-KE" w:eastAsia="en-KE"/>
              </w:rPr>
            </w:pPr>
            <w:r w:rsidRPr="00BF5DF5">
              <w:rPr>
                <w:rFonts w:ascii="Abadi Extra Light" w:eastAsia="Times New Roman" w:hAnsi="Abadi Extra Light" w:cs="Calibri"/>
                <w:color w:val="000000"/>
                <w:sz w:val="20"/>
                <w:szCs w:val="20"/>
                <w:lang w:val="en-KE" w:eastAsia="en-KE"/>
              </w:rPr>
              <w:t>County Treasury;</w:t>
            </w:r>
            <w:r w:rsidRPr="00BF5DF5">
              <w:rPr>
                <w:rFonts w:ascii="Abadi Extra Light" w:eastAsia="Times New Roman" w:hAnsi="Abadi Extra Light" w:cs="Calibri"/>
                <w:color w:val="000000"/>
                <w:sz w:val="20"/>
                <w:szCs w:val="20"/>
                <w:lang w:val="en-KE" w:eastAsia="en-KE"/>
              </w:rPr>
              <w:br/>
              <w:t>County Assembly Clerk</w:t>
            </w:r>
          </w:p>
        </w:tc>
        <w:tc>
          <w:tcPr>
            <w:tcW w:w="1339" w:type="dxa"/>
            <w:noWrap/>
            <w:hideMark/>
          </w:tcPr>
          <w:p w14:paraId="475D7225" w14:textId="77777777" w:rsidR="00AB07D3" w:rsidRPr="00BF5DF5" w:rsidRDefault="00AB07D3" w:rsidP="00373E9F">
            <w:pPr>
              <w:cnfStyle w:val="000000000000" w:firstRow="0" w:lastRow="0" w:firstColumn="0" w:lastColumn="0" w:oddVBand="0" w:evenVBand="0" w:oddHBand="0" w:evenHBand="0" w:firstRowFirstColumn="0" w:firstRowLastColumn="0" w:lastRowFirstColumn="0" w:lastRowLastColumn="0"/>
              <w:rPr>
                <w:rFonts w:ascii="Abadi Extra Light" w:eastAsia="Times New Roman" w:hAnsi="Abadi Extra Light" w:cs="Calibri"/>
                <w:color w:val="000000"/>
                <w:sz w:val="20"/>
                <w:szCs w:val="20"/>
                <w:lang w:val="en-KE" w:eastAsia="en-KE"/>
              </w:rPr>
            </w:pPr>
            <w:r w:rsidRPr="00BF5DF5">
              <w:rPr>
                <w:rFonts w:ascii="Abadi Extra Light" w:eastAsia="Times New Roman" w:hAnsi="Abadi Extra Light" w:cs="Calibri"/>
                <w:color w:val="000000"/>
                <w:sz w:val="20"/>
                <w:szCs w:val="20"/>
                <w:lang w:val="en-KE" w:eastAsia="en-KE"/>
              </w:rPr>
              <w:t>30th April</w:t>
            </w:r>
          </w:p>
        </w:tc>
        <w:tc>
          <w:tcPr>
            <w:tcW w:w="1237" w:type="dxa"/>
            <w:noWrap/>
            <w:hideMark/>
          </w:tcPr>
          <w:p w14:paraId="66F0D400" w14:textId="77777777" w:rsidR="00AB07D3" w:rsidRPr="00BF5DF5" w:rsidRDefault="00AB07D3" w:rsidP="00373E9F">
            <w:pPr>
              <w:cnfStyle w:val="000000000000" w:firstRow="0" w:lastRow="0" w:firstColumn="0" w:lastColumn="0" w:oddVBand="0" w:evenVBand="0" w:oddHBand="0" w:evenHBand="0" w:firstRowFirstColumn="0" w:firstRowLastColumn="0" w:lastRowFirstColumn="0" w:lastRowLastColumn="0"/>
              <w:rPr>
                <w:rFonts w:ascii="Abadi Extra Light" w:eastAsia="Times New Roman" w:hAnsi="Abadi Extra Light" w:cs="Calibri"/>
                <w:color w:val="000000"/>
                <w:sz w:val="20"/>
                <w:szCs w:val="20"/>
                <w:lang w:val="en-KE" w:eastAsia="en-KE"/>
              </w:rPr>
            </w:pPr>
          </w:p>
        </w:tc>
      </w:tr>
      <w:tr w:rsidR="00AB07D3" w:rsidRPr="0021178B" w14:paraId="3C452703" w14:textId="77777777" w:rsidTr="00AB07D3">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4667" w:type="dxa"/>
            <w:hideMark/>
          </w:tcPr>
          <w:p w14:paraId="23FB8385" w14:textId="77777777" w:rsidR="00AB07D3" w:rsidRPr="00BF5DF5" w:rsidRDefault="00AB07D3" w:rsidP="00373E9F">
            <w:pPr>
              <w:rPr>
                <w:rFonts w:ascii="Abadi Extra Light" w:eastAsia="Times New Roman" w:hAnsi="Abadi Extra Light" w:cs="Calibri"/>
                <w:b w:val="0"/>
                <w:bCs w:val="0"/>
                <w:color w:val="000000"/>
                <w:sz w:val="20"/>
                <w:szCs w:val="20"/>
                <w:lang w:val="en-KE" w:eastAsia="en-KE"/>
              </w:rPr>
            </w:pPr>
            <w:r w:rsidRPr="00BF5DF5">
              <w:rPr>
                <w:rFonts w:ascii="Abadi Extra Light" w:eastAsia="Times New Roman" w:hAnsi="Abadi Extra Light" w:cs="Calibri"/>
                <w:b w:val="0"/>
                <w:bCs w:val="0"/>
                <w:color w:val="000000"/>
                <w:sz w:val="20"/>
                <w:szCs w:val="20"/>
                <w:lang w:val="en-KE" w:eastAsia="en-KE"/>
              </w:rPr>
              <w:t>Submission to CA of Treasury's feedback on County Assembly budgets</w:t>
            </w:r>
          </w:p>
        </w:tc>
        <w:tc>
          <w:tcPr>
            <w:tcW w:w="2044" w:type="dxa"/>
            <w:noWrap/>
            <w:hideMark/>
          </w:tcPr>
          <w:p w14:paraId="02F144C9" w14:textId="77777777" w:rsidR="00AB07D3" w:rsidRPr="00BF5DF5" w:rsidRDefault="00AB07D3" w:rsidP="00373E9F">
            <w:pPr>
              <w:cnfStyle w:val="000000100000" w:firstRow="0" w:lastRow="0" w:firstColumn="0" w:lastColumn="0" w:oddVBand="0" w:evenVBand="0" w:oddHBand="1" w:evenHBand="0" w:firstRowFirstColumn="0" w:firstRowLastColumn="0" w:lastRowFirstColumn="0" w:lastRowLastColumn="0"/>
              <w:rPr>
                <w:rFonts w:ascii="Abadi Extra Light" w:eastAsia="Times New Roman" w:hAnsi="Abadi Extra Light" w:cs="Calibri"/>
                <w:color w:val="000000"/>
                <w:sz w:val="20"/>
                <w:szCs w:val="20"/>
                <w:lang w:val="en-KE" w:eastAsia="en-KE"/>
              </w:rPr>
            </w:pPr>
            <w:r w:rsidRPr="00BF5DF5">
              <w:rPr>
                <w:rFonts w:ascii="Abadi Extra Light" w:eastAsia="Times New Roman" w:hAnsi="Abadi Extra Light" w:cs="Calibri"/>
                <w:color w:val="000000"/>
                <w:sz w:val="20"/>
                <w:szCs w:val="20"/>
                <w:lang w:val="en-KE" w:eastAsia="en-KE"/>
              </w:rPr>
              <w:t>County Treasury</w:t>
            </w:r>
          </w:p>
        </w:tc>
        <w:tc>
          <w:tcPr>
            <w:tcW w:w="1339" w:type="dxa"/>
            <w:noWrap/>
            <w:hideMark/>
          </w:tcPr>
          <w:p w14:paraId="7CE880B9" w14:textId="77777777" w:rsidR="00AB07D3" w:rsidRPr="00BF5DF5" w:rsidRDefault="00AB07D3" w:rsidP="00373E9F">
            <w:pPr>
              <w:cnfStyle w:val="000000100000" w:firstRow="0" w:lastRow="0" w:firstColumn="0" w:lastColumn="0" w:oddVBand="0" w:evenVBand="0" w:oddHBand="1" w:evenHBand="0" w:firstRowFirstColumn="0" w:firstRowLastColumn="0" w:lastRowFirstColumn="0" w:lastRowLastColumn="0"/>
              <w:rPr>
                <w:rFonts w:ascii="Abadi Extra Light" w:eastAsia="Times New Roman" w:hAnsi="Abadi Extra Light" w:cs="Calibri"/>
                <w:color w:val="000000"/>
                <w:sz w:val="20"/>
                <w:szCs w:val="20"/>
                <w:lang w:val="en-KE" w:eastAsia="en-KE"/>
              </w:rPr>
            </w:pPr>
          </w:p>
        </w:tc>
        <w:tc>
          <w:tcPr>
            <w:tcW w:w="1237" w:type="dxa"/>
            <w:noWrap/>
            <w:hideMark/>
          </w:tcPr>
          <w:p w14:paraId="7E9F31C4" w14:textId="77777777" w:rsidR="00AB07D3" w:rsidRPr="00BF5DF5" w:rsidRDefault="00AB07D3" w:rsidP="00373E9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KE" w:eastAsia="en-KE"/>
              </w:rPr>
            </w:pPr>
          </w:p>
        </w:tc>
      </w:tr>
      <w:tr w:rsidR="00AB07D3" w:rsidRPr="00BF5DF5" w14:paraId="36907764" w14:textId="77777777" w:rsidTr="00AB07D3">
        <w:trPr>
          <w:trHeight w:val="296"/>
        </w:trPr>
        <w:tc>
          <w:tcPr>
            <w:cnfStyle w:val="001000000000" w:firstRow="0" w:lastRow="0" w:firstColumn="1" w:lastColumn="0" w:oddVBand="0" w:evenVBand="0" w:oddHBand="0" w:evenHBand="0" w:firstRowFirstColumn="0" w:firstRowLastColumn="0" w:lastRowFirstColumn="0" w:lastRowLastColumn="0"/>
            <w:tcW w:w="4667" w:type="dxa"/>
            <w:noWrap/>
            <w:hideMark/>
          </w:tcPr>
          <w:p w14:paraId="43F66CD7" w14:textId="77777777" w:rsidR="00AB07D3" w:rsidRPr="00BF5DF5" w:rsidRDefault="00AB07D3" w:rsidP="00373E9F">
            <w:pPr>
              <w:rPr>
                <w:rFonts w:ascii="Abadi Extra Light" w:eastAsia="Times New Roman" w:hAnsi="Abadi Extra Light" w:cs="Calibri"/>
                <w:b w:val="0"/>
                <w:bCs w:val="0"/>
                <w:color w:val="000000"/>
                <w:sz w:val="20"/>
                <w:szCs w:val="20"/>
                <w:lang w:val="en-KE" w:eastAsia="en-KE"/>
              </w:rPr>
            </w:pPr>
            <w:r w:rsidRPr="00BF5DF5">
              <w:rPr>
                <w:rFonts w:ascii="Abadi Extra Light" w:eastAsia="Times New Roman" w:hAnsi="Abadi Extra Light" w:cs="Calibri"/>
                <w:b w:val="0"/>
                <w:bCs w:val="0"/>
                <w:color w:val="000000"/>
                <w:sz w:val="20"/>
                <w:szCs w:val="20"/>
                <w:lang w:val="en-KE" w:eastAsia="en-KE"/>
              </w:rPr>
              <w:t>Publicize &amp; Publish budget estimates</w:t>
            </w:r>
          </w:p>
        </w:tc>
        <w:tc>
          <w:tcPr>
            <w:tcW w:w="2044" w:type="dxa"/>
            <w:noWrap/>
            <w:hideMark/>
          </w:tcPr>
          <w:p w14:paraId="5FBA4A45" w14:textId="77777777" w:rsidR="00AB07D3" w:rsidRPr="00BF5DF5" w:rsidRDefault="00AB07D3" w:rsidP="00373E9F">
            <w:pPr>
              <w:cnfStyle w:val="000000000000" w:firstRow="0" w:lastRow="0" w:firstColumn="0" w:lastColumn="0" w:oddVBand="0" w:evenVBand="0" w:oddHBand="0" w:evenHBand="0" w:firstRowFirstColumn="0" w:firstRowLastColumn="0" w:lastRowFirstColumn="0" w:lastRowLastColumn="0"/>
              <w:rPr>
                <w:rFonts w:ascii="Abadi Extra Light" w:eastAsia="Times New Roman" w:hAnsi="Abadi Extra Light" w:cs="Calibri"/>
                <w:color w:val="000000"/>
                <w:sz w:val="20"/>
                <w:szCs w:val="20"/>
                <w:lang w:val="en-KE" w:eastAsia="en-KE"/>
              </w:rPr>
            </w:pPr>
          </w:p>
        </w:tc>
        <w:tc>
          <w:tcPr>
            <w:tcW w:w="1339" w:type="dxa"/>
            <w:noWrap/>
            <w:hideMark/>
          </w:tcPr>
          <w:p w14:paraId="08C034ED" w14:textId="77777777" w:rsidR="00AB07D3" w:rsidRPr="00BF5DF5" w:rsidRDefault="00AB07D3" w:rsidP="00373E9F">
            <w:pPr>
              <w:cnfStyle w:val="000000000000" w:firstRow="0" w:lastRow="0" w:firstColumn="0" w:lastColumn="0" w:oddVBand="0" w:evenVBand="0" w:oddHBand="0" w:evenHBand="0" w:firstRowFirstColumn="0" w:firstRowLastColumn="0" w:lastRowFirstColumn="0" w:lastRowLastColumn="0"/>
              <w:rPr>
                <w:rFonts w:ascii="Abadi Extra Light" w:eastAsia="Times New Roman" w:hAnsi="Abadi Extra Light" w:cs="Times New Roman"/>
                <w:sz w:val="20"/>
                <w:szCs w:val="20"/>
                <w:lang w:eastAsia="en-KE"/>
              </w:rPr>
            </w:pPr>
            <w:r w:rsidRPr="002F1485">
              <w:rPr>
                <w:rFonts w:ascii="Abadi Extra Light" w:eastAsia="Times New Roman" w:hAnsi="Abadi Extra Light" w:cs="Times New Roman"/>
                <w:sz w:val="20"/>
                <w:szCs w:val="20"/>
                <w:lang w:eastAsia="en-KE"/>
              </w:rPr>
              <w:t>7</w:t>
            </w:r>
            <w:r w:rsidRPr="002F1485">
              <w:rPr>
                <w:rFonts w:ascii="Abadi Extra Light" w:eastAsia="Times New Roman" w:hAnsi="Abadi Extra Light" w:cs="Times New Roman"/>
                <w:sz w:val="20"/>
                <w:szCs w:val="20"/>
                <w:vertAlign w:val="superscript"/>
                <w:lang w:eastAsia="en-KE"/>
              </w:rPr>
              <w:t>th</w:t>
            </w:r>
            <w:r w:rsidRPr="002F1485">
              <w:rPr>
                <w:rFonts w:ascii="Abadi Extra Light" w:eastAsia="Times New Roman" w:hAnsi="Abadi Extra Light" w:cs="Times New Roman"/>
                <w:sz w:val="20"/>
                <w:szCs w:val="20"/>
                <w:lang w:eastAsia="en-KE"/>
              </w:rPr>
              <w:t xml:space="preserve"> May</w:t>
            </w:r>
          </w:p>
        </w:tc>
        <w:tc>
          <w:tcPr>
            <w:tcW w:w="1237" w:type="dxa"/>
            <w:shd w:val="clear" w:color="auto" w:fill="C00000"/>
            <w:noWrap/>
            <w:hideMark/>
          </w:tcPr>
          <w:p w14:paraId="50BB253D" w14:textId="77777777" w:rsidR="00AB07D3" w:rsidRPr="00BF5DF5" w:rsidRDefault="00AB07D3" w:rsidP="00373E9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KE" w:eastAsia="en-KE"/>
              </w:rPr>
            </w:pPr>
            <w:r w:rsidRPr="00BF5DF5">
              <w:rPr>
                <w:rFonts w:ascii="Calibri" w:eastAsia="Times New Roman" w:hAnsi="Calibri" w:cs="Calibri"/>
                <w:color w:val="000000"/>
                <w:sz w:val="20"/>
                <w:szCs w:val="20"/>
                <w:lang w:val="en-KE" w:eastAsia="en-KE"/>
              </w:rPr>
              <w:t> </w:t>
            </w:r>
          </w:p>
        </w:tc>
      </w:tr>
      <w:tr w:rsidR="00AB07D3" w:rsidRPr="0021178B" w14:paraId="1153FD87" w14:textId="77777777" w:rsidTr="00AB07D3">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4667" w:type="dxa"/>
            <w:noWrap/>
            <w:hideMark/>
          </w:tcPr>
          <w:p w14:paraId="5F411630" w14:textId="77777777" w:rsidR="00AB07D3" w:rsidRPr="00BF5DF5" w:rsidRDefault="00AB07D3" w:rsidP="00373E9F">
            <w:pPr>
              <w:rPr>
                <w:rFonts w:ascii="Abadi Extra Light" w:eastAsia="Times New Roman" w:hAnsi="Abadi Extra Light" w:cs="Calibri"/>
                <w:b w:val="0"/>
                <w:bCs w:val="0"/>
                <w:color w:val="000000"/>
                <w:sz w:val="20"/>
                <w:szCs w:val="20"/>
                <w:lang w:val="en-KE" w:eastAsia="en-KE"/>
              </w:rPr>
            </w:pPr>
            <w:r w:rsidRPr="00BF5DF5">
              <w:rPr>
                <w:rFonts w:ascii="Abadi Extra Light" w:eastAsia="Times New Roman" w:hAnsi="Abadi Extra Light" w:cs="Calibri"/>
                <w:b w:val="0"/>
                <w:bCs w:val="0"/>
                <w:color w:val="000000"/>
                <w:sz w:val="20"/>
                <w:szCs w:val="20"/>
                <w:lang w:val="en-KE" w:eastAsia="en-KE"/>
              </w:rPr>
              <w:t>Approval by CA</w:t>
            </w:r>
          </w:p>
        </w:tc>
        <w:tc>
          <w:tcPr>
            <w:tcW w:w="2044" w:type="dxa"/>
            <w:noWrap/>
            <w:hideMark/>
          </w:tcPr>
          <w:p w14:paraId="5EFD07A0" w14:textId="77777777" w:rsidR="00AB07D3" w:rsidRPr="00BF5DF5" w:rsidRDefault="00AB07D3" w:rsidP="00373E9F">
            <w:pPr>
              <w:cnfStyle w:val="000000100000" w:firstRow="0" w:lastRow="0" w:firstColumn="0" w:lastColumn="0" w:oddVBand="0" w:evenVBand="0" w:oddHBand="1" w:evenHBand="0" w:firstRowFirstColumn="0" w:firstRowLastColumn="0" w:lastRowFirstColumn="0" w:lastRowLastColumn="0"/>
              <w:rPr>
                <w:rFonts w:ascii="Abadi Extra Light" w:eastAsia="Times New Roman" w:hAnsi="Abadi Extra Light" w:cs="Calibri"/>
                <w:color w:val="000000"/>
                <w:sz w:val="20"/>
                <w:szCs w:val="20"/>
                <w:lang w:val="en-KE" w:eastAsia="en-KE"/>
              </w:rPr>
            </w:pPr>
          </w:p>
        </w:tc>
        <w:tc>
          <w:tcPr>
            <w:tcW w:w="1339" w:type="dxa"/>
            <w:noWrap/>
            <w:hideMark/>
          </w:tcPr>
          <w:p w14:paraId="2C1A7D50" w14:textId="77777777" w:rsidR="00AB07D3" w:rsidRPr="00BF5DF5" w:rsidRDefault="00AB07D3" w:rsidP="00373E9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KE" w:eastAsia="en-KE"/>
              </w:rPr>
            </w:pPr>
          </w:p>
        </w:tc>
        <w:tc>
          <w:tcPr>
            <w:tcW w:w="1237" w:type="dxa"/>
            <w:noWrap/>
            <w:hideMark/>
          </w:tcPr>
          <w:p w14:paraId="0F462707" w14:textId="77777777" w:rsidR="00AB07D3" w:rsidRPr="00BF5DF5" w:rsidRDefault="00AB07D3" w:rsidP="00373E9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KE" w:eastAsia="en-KE"/>
              </w:rPr>
            </w:pPr>
          </w:p>
        </w:tc>
      </w:tr>
      <w:tr w:rsidR="00AB07D3" w:rsidRPr="00BF5DF5" w14:paraId="65B4C286" w14:textId="77777777" w:rsidTr="00AB07D3">
        <w:trPr>
          <w:trHeight w:val="306"/>
        </w:trPr>
        <w:tc>
          <w:tcPr>
            <w:cnfStyle w:val="001000000000" w:firstRow="0" w:lastRow="0" w:firstColumn="1" w:lastColumn="0" w:oddVBand="0" w:evenVBand="0" w:oddHBand="0" w:evenHBand="0" w:firstRowFirstColumn="0" w:firstRowLastColumn="0" w:lastRowFirstColumn="0" w:lastRowLastColumn="0"/>
            <w:tcW w:w="4667" w:type="dxa"/>
            <w:noWrap/>
            <w:hideMark/>
          </w:tcPr>
          <w:p w14:paraId="5E31F08B" w14:textId="77777777" w:rsidR="00AB07D3" w:rsidRPr="00BF5DF5" w:rsidRDefault="00AB07D3" w:rsidP="00373E9F">
            <w:pPr>
              <w:rPr>
                <w:rFonts w:ascii="Franklin Gothic Demi" w:eastAsia="Times New Roman" w:hAnsi="Franklin Gothic Demi" w:cs="Calibri"/>
                <w:b w:val="0"/>
                <w:bCs w:val="0"/>
                <w:color w:val="000000"/>
                <w:sz w:val="20"/>
                <w:szCs w:val="20"/>
                <w:lang w:val="en-KE" w:eastAsia="en-KE"/>
              </w:rPr>
            </w:pPr>
            <w:r w:rsidRPr="00BF5DF5">
              <w:rPr>
                <w:rFonts w:ascii="Franklin Gothic Demi" w:eastAsia="Times New Roman" w:hAnsi="Franklin Gothic Demi" w:cs="Calibri"/>
                <w:b w:val="0"/>
                <w:bCs w:val="0"/>
                <w:color w:val="000000"/>
                <w:sz w:val="20"/>
                <w:szCs w:val="20"/>
                <w:lang w:val="en-KE" w:eastAsia="en-KE"/>
              </w:rPr>
              <w:t>Cashflow Projections</w:t>
            </w:r>
          </w:p>
        </w:tc>
        <w:tc>
          <w:tcPr>
            <w:tcW w:w="2044" w:type="dxa"/>
            <w:noWrap/>
            <w:hideMark/>
          </w:tcPr>
          <w:p w14:paraId="3CE5EFCB" w14:textId="77777777" w:rsidR="00AB07D3" w:rsidRPr="00BF5DF5" w:rsidRDefault="00AB07D3" w:rsidP="00373E9F">
            <w:pPr>
              <w:cnfStyle w:val="000000000000" w:firstRow="0" w:lastRow="0" w:firstColumn="0" w:lastColumn="0" w:oddVBand="0" w:evenVBand="0" w:oddHBand="0" w:evenHBand="0" w:firstRowFirstColumn="0" w:firstRowLastColumn="0" w:lastRowFirstColumn="0" w:lastRowLastColumn="0"/>
              <w:rPr>
                <w:rFonts w:ascii="Franklin Gothic Demi" w:eastAsia="Times New Roman" w:hAnsi="Franklin Gothic Demi" w:cs="Calibri"/>
                <w:color w:val="000000"/>
                <w:sz w:val="20"/>
                <w:szCs w:val="20"/>
                <w:lang w:val="en-KE" w:eastAsia="en-KE"/>
              </w:rPr>
            </w:pPr>
          </w:p>
        </w:tc>
        <w:tc>
          <w:tcPr>
            <w:tcW w:w="1339" w:type="dxa"/>
            <w:noWrap/>
            <w:hideMark/>
          </w:tcPr>
          <w:p w14:paraId="5C2D1CC8" w14:textId="77777777" w:rsidR="00AB07D3" w:rsidRPr="00BF5DF5" w:rsidRDefault="00AB07D3" w:rsidP="00373E9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KE" w:eastAsia="en-KE"/>
              </w:rPr>
            </w:pPr>
          </w:p>
        </w:tc>
        <w:tc>
          <w:tcPr>
            <w:tcW w:w="1237" w:type="dxa"/>
            <w:noWrap/>
            <w:hideMark/>
          </w:tcPr>
          <w:p w14:paraId="49B5FCEC" w14:textId="77777777" w:rsidR="00AB07D3" w:rsidRPr="00BF5DF5" w:rsidRDefault="00AB07D3" w:rsidP="00373E9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KE" w:eastAsia="en-KE"/>
              </w:rPr>
            </w:pPr>
          </w:p>
        </w:tc>
      </w:tr>
      <w:tr w:rsidR="00AB07D3" w:rsidRPr="0021178B" w14:paraId="10A74F7C" w14:textId="77777777" w:rsidTr="003729E7">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4667" w:type="dxa"/>
            <w:hideMark/>
          </w:tcPr>
          <w:p w14:paraId="629771E2" w14:textId="77777777" w:rsidR="00AB07D3" w:rsidRPr="00BF5DF5" w:rsidRDefault="00AB07D3" w:rsidP="00373E9F">
            <w:pPr>
              <w:rPr>
                <w:rFonts w:ascii="Abadi Extra Light" w:eastAsia="Times New Roman" w:hAnsi="Abadi Extra Light" w:cs="Calibri"/>
                <w:b w:val="0"/>
                <w:bCs w:val="0"/>
                <w:color w:val="000000"/>
                <w:sz w:val="20"/>
                <w:szCs w:val="20"/>
                <w:lang w:val="en-KE" w:eastAsia="en-KE"/>
              </w:rPr>
            </w:pPr>
            <w:r w:rsidRPr="00BF5DF5">
              <w:rPr>
                <w:rFonts w:ascii="Abadi Extra Light" w:eastAsia="Times New Roman" w:hAnsi="Abadi Extra Light" w:cs="Calibri"/>
                <w:b w:val="0"/>
                <w:bCs w:val="0"/>
                <w:color w:val="000000"/>
                <w:sz w:val="20"/>
                <w:szCs w:val="20"/>
                <w:lang w:val="en-KE" w:eastAsia="en-KE"/>
              </w:rPr>
              <w:t>Preparation and submission to the Controller of Budget with copies to the Intergovernmental Budget and Economic Council and the National Treasury</w:t>
            </w:r>
          </w:p>
        </w:tc>
        <w:tc>
          <w:tcPr>
            <w:tcW w:w="2044" w:type="dxa"/>
            <w:noWrap/>
            <w:hideMark/>
          </w:tcPr>
          <w:p w14:paraId="66F8D7D2" w14:textId="77777777" w:rsidR="00AB07D3" w:rsidRPr="00BF5DF5" w:rsidRDefault="00AB07D3" w:rsidP="00373E9F">
            <w:pPr>
              <w:cnfStyle w:val="000000100000" w:firstRow="0" w:lastRow="0" w:firstColumn="0" w:lastColumn="0" w:oddVBand="0" w:evenVBand="0" w:oddHBand="1" w:evenHBand="0" w:firstRowFirstColumn="0" w:firstRowLastColumn="0" w:lastRowFirstColumn="0" w:lastRowLastColumn="0"/>
              <w:rPr>
                <w:rFonts w:ascii="Abadi Extra Light" w:eastAsia="Times New Roman" w:hAnsi="Abadi Extra Light" w:cs="Calibri"/>
                <w:color w:val="000000"/>
                <w:sz w:val="20"/>
                <w:szCs w:val="20"/>
                <w:lang w:val="en-KE" w:eastAsia="en-KE"/>
              </w:rPr>
            </w:pPr>
            <w:r w:rsidRPr="00BF5DF5">
              <w:rPr>
                <w:rFonts w:ascii="Abadi Extra Light" w:eastAsia="Times New Roman" w:hAnsi="Abadi Extra Light" w:cs="Calibri"/>
                <w:color w:val="000000"/>
                <w:sz w:val="20"/>
                <w:szCs w:val="20"/>
                <w:lang w:val="en-KE" w:eastAsia="en-KE"/>
              </w:rPr>
              <w:t>County Treasury</w:t>
            </w:r>
          </w:p>
        </w:tc>
        <w:tc>
          <w:tcPr>
            <w:tcW w:w="1339" w:type="dxa"/>
            <w:noWrap/>
            <w:hideMark/>
          </w:tcPr>
          <w:p w14:paraId="737C82A1" w14:textId="77777777" w:rsidR="00AB07D3" w:rsidRPr="00BF5DF5" w:rsidRDefault="00AB07D3" w:rsidP="00373E9F">
            <w:pPr>
              <w:cnfStyle w:val="000000100000" w:firstRow="0" w:lastRow="0" w:firstColumn="0" w:lastColumn="0" w:oddVBand="0" w:evenVBand="0" w:oddHBand="1" w:evenHBand="0" w:firstRowFirstColumn="0" w:firstRowLastColumn="0" w:lastRowFirstColumn="0" w:lastRowLastColumn="0"/>
              <w:rPr>
                <w:rFonts w:ascii="Abadi Extra Light" w:eastAsia="Times New Roman" w:hAnsi="Abadi Extra Light" w:cs="Calibri"/>
                <w:color w:val="000000"/>
                <w:sz w:val="20"/>
                <w:szCs w:val="20"/>
                <w:lang w:val="en-KE" w:eastAsia="en-KE"/>
              </w:rPr>
            </w:pPr>
            <w:r w:rsidRPr="00BF5DF5">
              <w:rPr>
                <w:rFonts w:ascii="Abadi Extra Light" w:eastAsia="Times New Roman" w:hAnsi="Abadi Extra Light" w:cs="Calibri"/>
                <w:color w:val="000000"/>
                <w:sz w:val="20"/>
                <w:szCs w:val="20"/>
                <w:lang w:val="en-KE" w:eastAsia="en-KE"/>
              </w:rPr>
              <w:t>15th June</w:t>
            </w:r>
          </w:p>
        </w:tc>
        <w:tc>
          <w:tcPr>
            <w:tcW w:w="1237" w:type="dxa"/>
            <w:shd w:val="clear" w:color="auto" w:fill="C00000"/>
            <w:noWrap/>
            <w:hideMark/>
          </w:tcPr>
          <w:p w14:paraId="0AAC578C" w14:textId="77777777" w:rsidR="00AB07D3" w:rsidRPr="00BF5DF5" w:rsidRDefault="00AB07D3" w:rsidP="00373E9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KE" w:eastAsia="en-KE"/>
              </w:rPr>
            </w:pPr>
            <w:r w:rsidRPr="00BF5DF5">
              <w:rPr>
                <w:rFonts w:ascii="Calibri" w:eastAsia="Times New Roman" w:hAnsi="Calibri" w:cs="Calibri"/>
                <w:color w:val="000000"/>
                <w:sz w:val="20"/>
                <w:szCs w:val="20"/>
                <w:lang w:val="en-KE" w:eastAsia="en-KE"/>
              </w:rPr>
              <w:t> </w:t>
            </w:r>
          </w:p>
        </w:tc>
      </w:tr>
      <w:tr w:rsidR="00AB07D3" w:rsidRPr="00BF5DF5" w14:paraId="6F91D9D7" w14:textId="77777777" w:rsidTr="00AB07D3">
        <w:trPr>
          <w:trHeight w:val="306"/>
        </w:trPr>
        <w:tc>
          <w:tcPr>
            <w:cnfStyle w:val="001000000000" w:firstRow="0" w:lastRow="0" w:firstColumn="1" w:lastColumn="0" w:oddVBand="0" w:evenVBand="0" w:oddHBand="0" w:evenHBand="0" w:firstRowFirstColumn="0" w:firstRowLastColumn="0" w:lastRowFirstColumn="0" w:lastRowLastColumn="0"/>
            <w:tcW w:w="4667" w:type="dxa"/>
            <w:noWrap/>
            <w:hideMark/>
          </w:tcPr>
          <w:p w14:paraId="7DA0EF4E" w14:textId="77777777" w:rsidR="00AB07D3" w:rsidRPr="00BF5DF5" w:rsidRDefault="00AB07D3" w:rsidP="00373E9F">
            <w:pPr>
              <w:rPr>
                <w:rFonts w:ascii="Franklin Gothic Demi" w:eastAsia="Times New Roman" w:hAnsi="Franklin Gothic Demi" w:cs="Calibri"/>
                <w:b w:val="0"/>
                <w:bCs w:val="0"/>
                <w:color w:val="000000"/>
                <w:sz w:val="20"/>
                <w:szCs w:val="20"/>
                <w:lang w:val="en-KE" w:eastAsia="en-KE"/>
              </w:rPr>
            </w:pPr>
            <w:r w:rsidRPr="00BF5DF5">
              <w:rPr>
                <w:rFonts w:ascii="Franklin Gothic Demi" w:eastAsia="Times New Roman" w:hAnsi="Franklin Gothic Demi" w:cs="Calibri"/>
                <w:b w:val="0"/>
                <w:bCs w:val="0"/>
                <w:color w:val="000000"/>
                <w:sz w:val="20"/>
                <w:szCs w:val="20"/>
                <w:lang w:val="en-KE" w:eastAsia="en-KE"/>
              </w:rPr>
              <w:t>Appropriations Bill</w:t>
            </w:r>
          </w:p>
        </w:tc>
        <w:tc>
          <w:tcPr>
            <w:tcW w:w="2044" w:type="dxa"/>
            <w:noWrap/>
            <w:hideMark/>
          </w:tcPr>
          <w:p w14:paraId="22098A6F" w14:textId="77777777" w:rsidR="00AB07D3" w:rsidRPr="00BF5DF5" w:rsidRDefault="00AB07D3" w:rsidP="00373E9F">
            <w:pPr>
              <w:cnfStyle w:val="000000000000" w:firstRow="0" w:lastRow="0" w:firstColumn="0" w:lastColumn="0" w:oddVBand="0" w:evenVBand="0" w:oddHBand="0" w:evenHBand="0" w:firstRowFirstColumn="0" w:firstRowLastColumn="0" w:lastRowFirstColumn="0" w:lastRowLastColumn="0"/>
              <w:rPr>
                <w:rFonts w:ascii="Franklin Gothic Demi" w:eastAsia="Times New Roman" w:hAnsi="Franklin Gothic Demi" w:cs="Calibri"/>
                <w:color w:val="000000"/>
                <w:sz w:val="20"/>
                <w:szCs w:val="20"/>
                <w:lang w:val="en-KE" w:eastAsia="en-KE"/>
              </w:rPr>
            </w:pPr>
          </w:p>
        </w:tc>
        <w:tc>
          <w:tcPr>
            <w:tcW w:w="1339" w:type="dxa"/>
            <w:noWrap/>
            <w:hideMark/>
          </w:tcPr>
          <w:p w14:paraId="63108AFB" w14:textId="77777777" w:rsidR="00AB07D3" w:rsidRPr="00BF5DF5" w:rsidRDefault="00AB07D3" w:rsidP="00373E9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KE" w:eastAsia="en-KE"/>
              </w:rPr>
            </w:pPr>
          </w:p>
        </w:tc>
        <w:tc>
          <w:tcPr>
            <w:tcW w:w="1237" w:type="dxa"/>
            <w:noWrap/>
            <w:hideMark/>
          </w:tcPr>
          <w:p w14:paraId="0CB0A40A" w14:textId="77777777" w:rsidR="00AB07D3" w:rsidRPr="00BF5DF5" w:rsidRDefault="00AB07D3" w:rsidP="00373E9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KE" w:eastAsia="en-KE"/>
              </w:rPr>
            </w:pPr>
          </w:p>
        </w:tc>
      </w:tr>
      <w:tr w:rsidR="00AB07D3" w:rsidRPr="0021178B" w14:paraId="5A6F3089" w14:textId="77777777" w:rsidTr="00AB07D3">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4667" w:type="dxa"/>
            <w:noWrap/>
            <w:hideMark/>
          </w:tcPr>
          <w:p w14:paraId="495EEE83" w14:textId="77777777" w:rsidR="00AB07D3" w:rsidRPr="00BF5DF5" w:rsidRDefault="00AB07D3" w:rsidP="00373E9F">
            <w:pPr>
              <w:rPr>
                <w:rFonts w:ascii="Abadi Extra Light" w:eastAsia="Times New Roman" w:hAnsi="Abadi Extra Light" w:cs="Calibri"/>
                <w:b w:val="0"/>
                <w:bCs w:val="0"/>
                <w:color w:val="000000"/>
                <w:sz w:val="20"/>
                <w:szCs w:val="20"/>
                <w:lang w:val="en-KE" w:eastAsia="en-KE"/>
              </w:rPr>
            </w:pPr>
            <w:r w:rsidRPr="00BF5DF5">
              <w:rPr>
                <w:rFonts w:ascii="Abadi Extra Light" w:eastAsia="Times New Roman" w:hAnsi="Abadi Extra Light" w:cs="Calibri"/>
                <w:b w:val="0"/>
                <w:bCs w:val="0"/>
                <w:color w:val="000000"/>
                <w:sz w:val="20"/>
                <w:szCs w:val="20"/>
                <w:lang w:val="en-KE" w:eastAsia="en-KE"/>
              </w:rPr>
              <w:t>Preparation and Submission to CA</w:t>
            </w:r>
          </w:p>
        </w:tc>
        <w:tc>
          <w:tcPr>
            <w:tcW w:w="2044" w:type="dxa"/>
            <w:noWrap/>
            <w:hideMark/>
          </w:tcPr>
          <w:p w14:paraId="59F0F686" w14:textId="77777777" w:rsidR="00AB07D3" w:rsidRPr="00BF5DF5" w:rsidRDefault="00AB07D3" w:rsidP="00373E9F">
            <w:pPr>
              <w:cnfStyle w:val="000000100000" w:firstRow="0" w:lastRow="0" w:firstColumn="0" w:lastColumn="0" w:oddVBand="0" w:evenVBand="0" w:oddHBand="1" w:evenHBand="0" w:firstRowFirstColumn="0" w:firstRowLastColumn="0" w:lastRowFirstColumn="0" w:lastRowLastColumn="0"/>
              <w:rPr>
                <w:rFonts w:ascii="Abadi Extra Light" w:eastAsia="Times New Roman" w:hAnsi="Abadi Extra Light" w:cs="Calibri"/>
                <w:color w:val="000000"/>
                <w:sz w:val="20"/>
                <w:szCs w:val="20"/>
                <w:lang w:val="en-KE" w:eastAsia="en-KE"/>
              </w:rPr>
            </w:pPr>
            <w:r w:rsidRPr="00BF5DF5">
              <w:rPr>
                <w:rFonts w:ascii="Abadi Extra Light" w:eastAsia="Times New Roman" w:hAnsi="Abadi Extra Light" w:cs="Calibri"/>
                <w:color w:val="000000"/>
                <w:sz w:val="20"/>
                <w:szCs w:val="20"/>
                <w:lang w:val="en-KE" w:eastAsia="en-KE"/>
              </w:rPr>
              <w:t>County Treasury</w:t>
            </w:r>
          </w:p>
        </w:tc>
        <w:tc>
          <w:tcPr>
            <w:tcW w:w="1339" w:type="dxa"/>
            <w:noWrap/>
            <w:hideMark/>
          </w:tcPr>
          <w:p w14:paraId="0C2E51D8" w14:textId="77777777" w:rsidR="00AB07D3" w:rsidRPr="00BF5DF5" w:rsidRDefault="00AB07D3" w:rsidP="00373E9F">
            <w:pPr>
              <w:cnfStyle w:val="000000100000" w:firstRow="0" w:lastRow="0" w:firstColumn="0" w:lastColumn="0" w:oddVBand="0" w:evenVBand="0" w:oddHBand="1" w:evenHBand="0" w:firstRowFirstColumn="0" w:firstRowLastColumn="0" w:lastRowFirstColumn="0" w:lastRowLastColumn="0"/>
              <w:rPr>
                <w:rFonts w:ascii="Abadi Extra Light" w:eastAsia="Times New Roman" w:hAnsi="Abadi Extra Light" w:cs="Calibri"/>
                <w:color w:val="000000"/>
                <w:sz w:val="20"/>
                <w:szCs w:val="20"/>
                <w:lang w:val="en-KE" w:eastAsia="en-KE"/>
              </w:rPr>
            </w:pPr>
          </w:p>
        </w:tc>
        <w:tc>
          <w:tcPr>
            <w:tcW w:w="1237" w:type="dxa"/>
            <w:noWrap/>
            <w:hideMark/>
          </w:tcPr>
          <w:p w14:paraId="680672CE" w14:textId="77777777" w:rsidR="00AB07D3" w:rsidRPr="00BF5DF5" w:rsidRDefault="00AB07D3" w:rsidP="00373E9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KE" w:eastAsia="en-KE"/>
              </w:rPr>
            </w:pPr>
          </w:p>
        </w:tc>
      </w:tr>
      <w:tr w:rsidR="00AB07D3" w:rsidRPr="00BF5DF5" w14:paraId="60BF48A3" w14:textId="77777777" w:rsidTr="00AB07D3">
        <w:trPr>
          <w:trHeight w:val="296"/>
        </w:trPr>
        <w:tc>
          <w:tcPr>
            <w:cnfStyle w:val="001000000000" w:firstRow="0" w:lastRow="0" w:firstColumn="1" w:lastColumn="0" w:oddVBand="0" w:evenVBand="0" w:oddHBand="0" w:evenHBand="0" w:firstRowFirstColumn="0" w:firstRowLastColumn="0" w:lastRowFirstColumn="0" w:lastRowLastColumn="0"/>
            <w:tcW w:w="4667" w:type="dxa"/>
            <w:noWrap/>
            <w:hideMark/>
          </w:tcPr>
          <w:p w14:paraId="76A5E097" w14:textId="77777777" w:rsidR="00AB07D3" w:rsidRPr="00BF5DF5" w:rsidRDefault="00AB07D3" w:rsidP="00373E9F">
            <w:pPr>
              <w:rPr>
                <w:rFonts w:ascii="Abadi Extra Light" w:eastAsia="Times New Roman" w:hAnsi="Abadi Extra Light" w:cs="Calibri"/>
                <w:b w:val="0"/>
                <w:bCs w:val="0"/>
                <w:color w:val="000000"/>
                <w:sz w:val="20"/>
                <w:szCs w:val="20"/>
                <w:lang w:val="en-KE" w:eastAsia="en-KE"/>
              </w:rPr>
            </w:pPr>
            <w:r w:rsidRPr="00BF5DF5">
              <w:rPr>
                <w:rFonts w:ascii="Abadi Extra Light" w:eastAsia="Times New Roman" w:hAnsi="Abadi Extra Light" w:cs="Calibri"/>
                <w:b w:val="0"/>
                <w:bCs w:val="0"/>
                <w:color w:val="000000"/>
                <w:sz w:val="20"/>
                <w:szCs w:val="20"/>
                <w:lang w:val="en-KE" w:eastAsia="en-KE"/>
              </w:rPr>
              <w:t>Approval by CA</w:t>
            </w:r>
          </w:p>
        </w:tc>
        <w:tc>
          <w:tcPr>
            <w:tcW w:w="2044" w:type="dxa"/>
            <w:noWrap/>
            <w:hideMark/>
          </w:tcPr>
          <w:p w14:paraId="54A6057A" w14:textId="77777777" w:rsidR="00AB07D3" w:rsidRPr="00BF5DF5" w:rsidRDefault="00AB07D3" w:rsidP="00373E9F">
            <w:pPr>
              <w:cnfStyle w:val="000000000000" w:firstRow="0" w:lastRow="0" w:firstColumn="0" w:lastColumn="0" w:oddVBand="0" w:evenVBand="0" w:oddHBand="0" w:evenHBand="0" w:firstRowFirstColumn="0" w:firstRowLastColumn="0" w:lastRowFirstColumn="0" w:lastRowLastColumn="0"/>
              <w:rPr>
                <w:rFonts w:ascii="Abadi Extra Light" w:eastAsia="Times New Roman" w:hAnsi="Abadi Extra Light" w:cs="Calibri"/>
                <w:color w:val="000000"/>
                <w:sz w:val="20"/>
                <w:szCs w:val="20"/>
                <w:lang w:val="en-KE" w:eastAsia="en-KE"/>
              </w:rPr>
            </w:pPr>
            <w:r w:rsidRPr="00BF5DF5">
              <w:rPr>
                <w:rFonts w:ascii="Abadi Extra Light" w:eastAsia="Times New Roman" w:hAnsi="Abadi Extra Light" w:cs="Calibri"/>
                <w:color w:val="000000"/>
                <w:sz w:val="20"/>
                <w:szCs w:val="20"/>
                <w:lang w:val="en-KE" w:eastAsia="en-KE"/>
              </w:rPr>
              <w:t>County Assembly</w:t>
            </w:r>
          </w:p>
        </w:tc>
        <w:tc>
          <w:tcPr>
            <w:tcW w:w="1339" w:type="dxa"/>
            <w:noWrap/>
            <w:hideMark/>
          </w:tcPr>
          <w:p w14:paraId="002D06A5" w14:textId="77777777" w:rsidR="00AB07D3" w:rsidRPr="00BF5DF5" w:rsidRDefault="00AB07D3" w:rsidP="00373E9F">
            <w:pPr>
              <w:cnfStyle w:val="000000000000" w:firstRow="0" w:lastRow="0" w:firstColumn="0" w:lastColumn="0" w:oddVBand="0" w:evenVBand="0" w:oddHBand="0" w:evenHBand="0" w:firstRowFirstColumn="0" w:firstRowLastColumn="0" w:lastRowFirstColumn="0" w:lastRowLastColumn="0"/>
              <w:rPr>
                <w:rFonts w:ascii="Abadi Extra Light" w:eastAsia="Times New Roman" w:hAnsi="Abadi Extra Light" w:cs="Calibri"/>
                <w:color w:val="000000"/>
                <w:sz w:val="20"/>
                <w:szCs w:val="20"/>
                <w:lang w:val="en-KE" w:eastAsia="en-KE"/>
              </w:rPr>
            </w:pPr>
            <w:r w:rsidRPr="00BF5DF5">
              <w:rPr>
                <w:rFonts w:ascii="Abadi Extra Light" w:eastAsia="Times New Roman" w:hAnsi="Abadi Extra Light" w:cs="Calibri"/>
                <w:color w:val="000000"/>
                <w:sz w:val="20"/>
                <w:szCs w:val="20"/>
                <w:lang w:val="en-KE" w:eastAsia="en-KE"/>
              </w:rPr>
              <w:t>30th June</w:t>
            </w:r>
          </w:p>
        </w:tc>
        <w:tc>
          <w:tcPr>
            <w:tcW w:w="1237" w:type="dxa"/>
            <w:noWrap/>
            <w:hideMark/>
          </w:tcPr>
          <w:p w14:paraId="5A649BF1" w14:textId="77777777" w:rsidR="00AB07D3" w:rsidRPr="00BF5DF5" w:rsidRDefault="00AB07D3" w:rsidP="00373E9F">
            <w:pPr>
              <w:cnfStyle w:val="000000000000" w:firstRow="0" w:lastRow="0" w:firstColumn="0" w:lastColumn="0" w:oddVBand="0" w:evenVBand="0" w:oddHBand="0" w:evenHBand="0" w:firstRowFirstColumn="0" w:firstRowLastColumn="0" w:lastRowFirstColumn="0" w:lastRowLastColumn="0"/>
              <w:rPr>
                <w:rFonts w:ascii="Abadi Extra Light" w:eastAsia="Times New Roman" w:hAnsi="Abadi Extra Light" w:cs="Calibri"/>
                <w:color w:val="000000"/>
                <w:sz w:val="20"/>
                <w:szCs w:val="20"/>
                <w:lang w:val="en-KE" w:eastAsia="en-KE"/>
              </w:rPr>
            </w:pPr>
          </w:p>
        </w:tc>
      </w:tr>
      <w:tr w:rsidR="00AB07D3" w:rsidRPr="0021178B" w14:paraId="16B6EDB3" w14:textId="77777777" w:rsidTr="00AB07D3">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4667" w:type="dxa"/>
            <w:noWrap/>
            <w:hideMark/>
          </w:tcPr>
          <w:p w14:paraId="25528682" w14:textId="77777777" w:rsidR="00AB07D3" w:rsidRPr="00BF5DF5" w:rsidRDefault="00AB07D3" w:rsidP="00373E9F">
            <w:pPr>
              <w:rPr>
                <w:rFonts w:ascii="Abadi Extra Light" w:eastAsia="Times New Roman" w:hAnsi="Abadi Extra Light" w:cs="Calibri"/>
                <w:b w:val="0"/>
                <w:bCs w:val="0"/>
                <w:color w:val="000000"/>
                <w:sz w:val="20"/>
                <w:szCs w:val="20"/>
                <w:lang w:val="en-KE" w:eastAsia="en-KE"/>
              </w:rPr>
            </w:pPr>
            <w:r w:rsidRPr="00BF5DF5">
              <w:rPr>
                <w:rFonts w:ascii="Abadi Extra Light" w:eastAsia="Times New Roman" w:hAnsi="Abadi Extra Light" w:cs="Calibri"/>
                <w:b w:val="0"/>
                <w:bCs w:val="0"/>
                <w:color w:val="000000"/>
                <w:sz w:val="20"/>
                <w:szCs w:val="20"/>
                <w:lang w:val="en-KE" w:eastAsia="en-KE"/>
              </w:rPr>
              <w:t>Publicize</w:t>
            </w:r>
          </w:p>
        </w:tc>
        <w:tc>
          <w:tcPr>
            <w:tcW w:w="2044" w:type="dxa"/>
            <w:noWrap/>
            <w:hideMark/>
          </w:tcPr>
          <w:p w14:paraId="69FEF547" w14:textId="77777777" w:rsidR="00AB07D3" w:rsidRPr="00BF5DF5" w:rsidRDefault="00AB07D3" w:rsidP="00373E9F">
            <w:pPr>
              <w:cnfStyle w:val="000000100000" w:firstRow="0" w:lastRow="0" w:firstColumn="0" w:lastColumn="0" w:oddVBand="0" w:evenVBand="0" w:oddHBand="1" w:evenHBand="0" w:firstRowFirstColumn="0" w:firstRowLastColumn="0" w:lastRowFirstColumn="0" w:lastRowLastColumn="0"/>
              <w:rPr>
                <w:rFonts w:ascii="Abadi Extra Light" w:eastAsia="Times New Roman" w:hAnsi="Abadi Extra Light" w:cs="Calibri"/>
                <w:color w:val="000000"/>
                <w:sz w:val="20"/>
                <w:szCs w:val="20"/>
                <w:lang w:val="en-KE" w:eastAsia="en-KE"/>
              </w:rPr>
            </w:pPr>
            <w:r w:rsidRPr="00BF5DF5">
              <w:rPr>
                <w:rFonts w:ascii="Abadi Extra Light" w:eastAsia="Times New Roman" w:hAnsi="Abadi Extra Light" w:cs="Calibri"/>
                <w:color w:val="000000"/>
                <w:sz w:val="20"/>
                <w:szCs w:val="20"/>
                <w:lang w:val="en-KE" w:eastAsia="en-KE"/>
              </w:rPr>
              <w:t>County Treasury</w:t>
            </w:r>
          </w:p>
        </w:tc>
        <w:tc>
          <w:tcPr>
            <w:tcW w:w="1339" w:type="dxa"/>
            <w:noWrap/>
            <w:hideMark/>
          </w:tcPr>
          <w:p w14:paraId="75148CA4" w14:textId="77777777" w:rsidR="00AB07D3" w:rsidRPr="00BF5DF5" w:rsidRDefault="00AB07D3" w:rsidP="00373E9F">
            <w:pPr>
              <w:cnfStyle w:val="000000100000" w:firstRow="0" w:lastRow="0" w:firstColumn="0" w:lastColumn="0" w:oddVBand="0" w:evenVBand="0" w:oddHBand="1" w:evenHBand="0" w:firstRowFirstColumn="0" w:firstRowLastColumn="0" w:lastRowFirstColumn="0" w:lastRowLastColumn="0"/>
              <w:rPr>
                <w:rFonts w:ascii="Abadi Extra Light" w:eastAsia="Times New Roman" w:hAnsi="Abadi Extra Light" w:cs="Calibri"/>
                <w:color w:val="000000"/>
                <w:sz w:val="20"/>
                <w:szCs w:val="20"/>
                <w:lang w:val="en-KE" w:eastAsia="en-KE"/>
              </w:rPr>
            </w:pPr>
            <w:r w:rsidRPr="00BF5DF5">
              <w:rPr>
                <w:rFonts w:ascii="Abadi Extra Light" w:eastAsia="Times New Roman" w:hAnsi="Abadi Extra Light" w:cs="Calibri"/>
                <w:color w:val="000000"/>
                <w:sz w:val="20"/>
                <w:szCs w:val="20"/>
                <w:lang w:val="en-KE" w:eastAsia="en-KE"/>
              </w:rPr>
              <w:t>By 21st July</w:t>
            </w:r>
          </w:p>
        </w:tc>
        <w:tc>
          <w:tcPr>
            <w:tcW w:w="1237" w:type="dxa"/>
            <w:shd w:val="clear" w:color="auto" w:fill="C00000"/>
            <w:noWrap/>
            <w:hideMark/>
          </w:tcPr>
          <w:p w14:paraId="30646657" w14:textId="77777777" w:rsidR="00AB07D3" w:rsidRPr="00BF5DF5" w:rsidRDefault="00AB07D3" w:rsidP="00373E9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KE" w:eastAsia="en-KE"/>
              </w:rPr>
            </w:pPr>
            <w:r w:rsidRPr="00BF5DF5">
              <w:rPr>
                <w:rFonts w:ascii="Calibri" w:eastAsia="Times New Roman" w:hAnsi="Calibri" w:cs="Calibri"/>
                <w:color w:val="000000"/>
                <w:sz w:val="20"/>
                <w:szCs w:val="20"/>
                <w:lang w:val="en-KE" w:eastAsia="en-KE"/>
              </w:rPr>
              <w:t> </w:t>
            </w:r>
          </w:p>
        </w:tc>
      </w:tr>
      <w:tr w:rsidR="00AB07D3" w:rsidRPr="00BF5DF5" w14:paraId="2AFE9A85" w14:textId="77777777" w:rsidTr="00AB07D3">
        <w:trPr>
          <w:trHeight w:val="306"/>
        </w:trPr>
        <w:tc>
          <w:tcPr>
            <w:cnfStyle w:val="001000000000" w:firstRow="0" w:lastRow="0" w:firstColumn="1" w:lastColumn="0" w:oddVBand="0" w:evenVBand="0" w:oddHBand="0" w:evenHBand="0" w:firstRowFirstColumn="0" w:firstRowLastColumn="0" w:lastRowFirstColumn="0" w:lastRowLastColumn="0"/>
            <w:tcW w:w="4667" w:type="dxa"/>
            <w:shd w:val="clear" w:color="auto" w:fill="8ACC8E"/>
            <w:noWrap/>
            <w:hideMark/>
          </w:tcPr>
          <w:p w14:paraId="02C9BA8E" w14:textId="77777777" w:rsidR="00AB07D3" w:rsidRPr="00BF5DF5" w:rsidRDefault="00AB07D3" w:rsidP="00373E9F">
            <w:pPr>
              <w:rPr>
                <w:rFonts w:ascii="Franklin Gothic Demi" w:eastAsia="Times New Roman" w:hAnsi="Franklin Gothic Demi" w:cs="Calibri"/>
                <w:b w:val="0"/>
                <w:bCs w:val="0"/>
                <w:color w:val="000000"/>
                <w:sz w:val="20"/>
                <w:szCs w:val="20"/>
                <w:lang w:val="en-KE" w:eastAsia="en-KE"/>
              </w:rPr>
            </w:pPr>
            <w:r w:rsidRPr="00BF5DF5">
              <w:rPr>
                <w:rFonts w:ascii="Franklin Gothic Demi" w:eastAsia="Times New Roman" w:hAnsi="Franklin Gothic Demi" w:cs="Calibri"/>
                <w:b w:val="0"/>
                <w:bCs w:val="0"/>
                <w:color w:val="000000"/>
                <w:sz w:val="20"/>
                <w:szCs w:val="20"/>
                <w:lang w:val="en-KE" w:eastAsia="en-KE"/>
              </w:rPr>
              <w:t>Budget Circular</w:t>
            </w:r>
          </w:p>
        </w:tc>
        <w:tc>
          <w:tcPr>
            <w:tcW w:w="2044" w:type="dxa"/>
            <w:shd w:val="clear" w:color="auto" w:fill="8ACC8E"/>
            <w:noWrap/>
            <w:hideMark/>
          </w:tcPr>
          <w:p w14:paraId="10069ADA" w14:textId="77777777" w:rsidR="00AB07D3" w:rsidRPr="00BF5DF5" w:rsidRDefault="00AB07D3" w:rsidP="00373E9F">
            <w:pPr>
              <w:cnfStyle w:val="000000000000" w:firstRow="0" w:lastRow="0" w:firstColumn="0" w:lastColumn="0" w:oddVBand="0" w:evenVBand="0" w:oddHBand="0" w:evenHBand="0" w:firstRowFirstColumn="0" w:firstRowLastColumn="0" w:lastRowFirstColumn="0" w:lastRowLastColumn="0"/>
              <w:rPr>
                <w:rFonts w:ascii="Abadi Extra Light" w:eastAsia="Times New Roman" w:hAnsi="Abadi Extra Light" w:cs="Calibri"/>
                <w:color w:val="000000"/>
                <w:sz w:val="20"/>
                <w:szCs w:val="20"/>
                <w:lang w:val="en-KE" w:eastAsia="en-KE"/>
              </w:rPr>
            </w:pPr>
            <w:r w:rsidRPr="00BF5DF5">
              <w:rPr>
                <w:rFonts w:ascii="Abadi Extra Light" w:eastAsia="Times New Roman" w:hAnsi="Abadi Extra Light" w:cs="Calibri"/>
                <w:color w:val="000000"/>
                <w:sz w:val="20"/>
                <w:szCs w:val="20"/>
                <w:lang w:val="en-KE" w:eastAsia="en-KE"/>
              </w:rPr>
              <w:t>County Treasury</w:t>
            </w:r>
          </w:p>
        </w:tc>
        <w:tc>
          <w:tcPr>
            <w:tcW w:w="1339" w:type="dxa"/>
            <w:shd w:val="clear" w:color="auto" w:fill="8ACC8E"/>
            <w:noWrap/>
            <w:hideMark/>
          </w:tcPr>
          <w:p w14:paraId="686F58B0" w14:textId="77777777" w:rsidR="00AB07D3" w:rsidRPr="00BF5DF5" w:rsidRDefault="00AB07D3" w:rsidP="00373E9F">
            <w:pPr>
              <w:cnfStyle w:val="000000000000" w:firstRow="0" w:lastRow="0" w:firstColumn="0" w:lastColumn="0" w:oddVBand="0" w:evenVBand="0" w:oddHBand="0" w:evenHBand="0" w:firstRowFirstColumn="0" w:firstRowLastColumn="0" w:lastRowFirstColumn="0" w:lastRowLastColumn="0"/>
              <w:rPr>
                <w:rFonts w:ascii="Abadi Extra Light" w:eastAsia="Times New Roman" w:hAnsi="Abadi Extra Light" w:cs="Calibri"/>
                <w:color w:val="000000"/>
                <w:sz w:val="20"/>
                <w:szCs w:val="20"/>
                <w:lang w:val="en-KE" w:eastAsia="en-KE"/>
              </w:rPr>
            </w:pPr>
            <w:r w:rsidRPr="00BF5DF5">
              <w:rPr>
                <w:rFonts w:ascii="Abadi Extra Light" w:eastAsia="Times New Roman" w:hAnsi="Abadi Extra Light" w:cs="Calibri"/>
                <w:color w:val="000000"/>
                <w:sz w:val="20"/>
                <w:szCs w:val="20"/>
                <w:lang w:val="en-KE" w:eastAsia="en-KE"/>
              </w:rPr>
              <w:t>30th August</w:t>
            </w:r>
          </w:p>
        </w:tc>
        <w:tc>
          <w:tcPr>
            <w:tcW w:w="1237" w:type="dxa"/>
            <w:shd w:val="clear" w:color="auto" w:fill="8ACC8E"/>
            <w:noWrap/>
            <w:hideMark/>
          </w:tcPr>
          <w:p w14:paraId="12AA5153" w14:textId="77777777" w:rsidR="00AB07D3" w:rsidRPr="00BF5DF5" w:rsidRDefault="00AB07D3" w:rsidP="00373E9F">
            <w:pPr>
              <w:cnfStyle w:val="000000000000" w:firstRow="0" w:lastRow="0" w:firstColumn="0" w:lastColumn="0" w:oddVBand="0" w:evenVBand="0" w:oddHBand="0" w:evenHBand="0" w:firstRowFirstColumn="0" w:firstRowLastColumn="0" w:lastRowFirstColumn="0" w:lastRowLastColumn="0"/>
              <w:rPr>
                <w:rFonts w:ascii="Abadi Extra Light" w:eastAsia="Times New Roman" w:hAnsi="Abadi Extra Light" w:cs="Calibri"/>
                <w:color w:val="000000"/>
                <w:sz w:val="20"/>
                <w:szCs w:val="20"/>
                <w:lang w:val="en-KE" w:eastAsia="en-KE"/>
              </w:rPr>
            </w:pPr>
          </w:p>
        </w:tc>
      </w:tr>
      <w:tr w:rsidR="00AB07D3" w:rsidRPr="0021178B" w14:paraId="206695B6" w14:textId="77777777" w:rsidTr="00AB07D3">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4667" w:type="dxa"/>
            <w:noWrap/>
            <w:hideMark/>
          </w:tcPr>
          <w:p w14:paraId="047AB118" w14:textId="77777777" w:rsidR="00AB07D3" w:rsidRPr="00BF5DF5" w:rsidRDefault="00AB07D3" w:rsidP="00373E9F">
            <w:pPr>
              <w:rPr>
                <w:rFonts w:ascii="Franklin Gothic Demi" w:eastAsia="Times New Roman" w:hAnsi="Franklin Gothic Demi" w:cs="Calibri"/>
                <w:b w:val="0"/>
                <w:bCs w:val="0"/>
                <w:color w:val="000000"/>
                <w:sz w:val="20"/>
                <w:szCs w:val="20"/>
                <w:lang w:val="en-KE" w:eastAsia="en-KE"/>
              </w:rPr>
            </w:pPr>
            <w:r w:rsidRPr="00BF5DF5">
              <w:rPr>
                <w:rFonts w:ascii="Franklin Gothic Demi" w:eastAsia="Times New Roman" w:hAnsi="Franklin Gothic Demi" w:cs="Calibri"/>
                <w:b w:val="0"/>
                <w:bCs w:val="0"/>
                <w:color w:val="000000"/>
                <w:sz w:val="20"/>
                <w:szCs w:val="20"/>
                <w:lang w:val="en-KE" w:eastAsia="en-KE"/>
              </w:rPr>
              <w:t>CIDP</w:t>
            </w:r>
          </w:p>
        </w:tc>
        <w:tc>
          <w:tcPr>
            <w:tcW w:w="2044" w:type="dxa"/>
            <w:noWrap/>
            <w:hideMark/>
          </w:tcPr>
          <w:p w14:paraId="71E891D9" w14:textId="77777777" w:rsidR="00AB07D3" w:rsidRPr="00BF5DF5" w:rsidRDefault="00AB07D3" w:rsidP="00373E9F">
            <w:pPr>
              <w:cnfStyle w:val="000000100000" w:firstRow="0" w:lastRow="0" w:firstColumn="0" w:lastColumn="0" w:oddVBand="0" w:evenVBand="0" w:oddHBand="1" w:evenHBand="0" w:firstRowFirstColumn="0" w:firstRowLastColumn="0" w:lastRowFirstColumn="0" w:lastRowLastColumn="0"/>
              <w:rPr>
                <w:rFonts w:ascii="Franklin Gothic Demi" w:eastAsia="Times New Roman" w:hAnsi="Franklin Gothic Demi" w:cs="Calibri"/>
                <w:color w:val="000000"/>
                <w:sz w:val="20"/>
                <w:szCs w:val="20"/>
                <w:lang w:val="en-KE" w:eastAsia="en-KE"/>
              </w:rPr>
            </w:pPr>
          </w:p>
        </w:tc>
        <w:tc>
          <w:tcPr>
            <w:tcW w:w="1339" w:type="dxa"/>
            <w:noWrap/>
            <w:hideMark/>
          </w:tcPr>
          <w:p w14:paraId="02303184" w14:textId="77777777" w:rsidR="00AB07D3" w:rsidRPr="00BF5DF5" w:rsidRDefault="00AB07D3" w:rsidP="00373E9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KE" w:eastAsia="en-KE"/>
              </w:rPr>
            </w:pPr>
          </w:p>
        </w:tc>
        <w:tc>
          <w:tcPr>
            <w:tcW w:w="1237" w:type="dxa"/>
            <w:noWrap/>
            <w:hideMark/>
          </w:tcPr>
          <w:p w14:paraId="0DE835DA" w14:textId="77777777" w:rsidR="00AB07D3" w:rsidRPr="00BF5DF5" w:rsidRDefault="00AB07D3" w:rsidP="00373E9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KE" w:eastAsia="en-KE"/>
              </w:rPr>
            </w:pPr>
          </w:p>
        </w:tc>
      </w:tr>
      <w:tr w:rsidR="00AB07D3" w:rsidRPr="00BF5DF5" w14:paraId="42499AF7" w14:textId="77777777" w:rsidTr="00AB07D3">
        <w:trPr>
          <w:trHeight w:val="296"/>
        </w:trPr>
        <w:tc>
          <w:tcPr>
            <w:cnfStyle w:val="001000000000" w:firstRow="0" w:lastRow="0" w:firstColumn="1" w:lastColumn="0" w:oddVBand="0" w:evenVBand="0" w:oddHBand="0" w:evenHBand="0" w:firstRowFirstColumn="0" w:firstRowLastColumn="0" w:lastRowFirstColumn="0" w:lastRowLastColumn="0"/>
            <w:tcW w:w="4667" w:type="dxa"/>
            <w:noWrap/>
            <w:hideMark/>
          </w:tcPr>
          <w:p w14:paraId="1A8A235D" w14:textId="77777777" w:rsidR="00AB07D3" w:rsidRPr="00BF5DF5" w:rsidRDefault="00AB07D3" w:rsidP="00373E9F">
            <w:pPr>
              <w:rPr>
                <w:rFonts w:ascii="Abadi Extra Light" w:eastAsia="Times New Roman" w:hAnsi="Abadi Extra Light" w:cs="Calibri"/>
                <w:b w:val="0"/>
                <w:bCs w:val="0"/>
                <w:color w:val="000000"/>
                <w:sz w:val="20"/>
                <w:szCs w:val="20"/>
                <w:lang w:val="en-KE" w:eastAsia="en-KE"/>
              </w:rPr>
            </w:pPr>
            <w:r w:rsidRPr="00BF5DF5">
              <w:rPr>
                <w:rFonts w:ascii="Abadi Extra Light" w:eastAsia="Times New Roman" w:hAnsi="Abadi Extra Light" w:cs="Calibri"/>
                <w:b w:val="0"/>
                <w:bCs w:val="0"/>
                <w:color w:val="000000"/>
                <w:sz w:val="20"/>
                <w:szCs w:val="20"/>
                <w:lang w:val="en-KE" w:eastAsia="en-KE"/>
              </w:rPr>
              <w:t>Submission for consideration by CA</w:t>
            </w:r>
          </w:p>
        </w:tc>
        <w:tc>
          <w:tcPr>
            <w:tcW w:w="2044" w:type="dxa"/>
            <w:noWrap/>
            <w:hideMark/>
          </w:tcPr>
          <w:p w14:paraId="407B5BC2" w14:textId="77777777" w:rsidR="00AB07D3" w:rsidRPr="00BF5DF5" w:rsidRDefault="00AB07D3" w:rsidP="00373E9F">
            <w:pPr>
              <w:cnfStyle w:val="000000000000" w:firstRow="0" w:lastRow="0" w:firstColumn="0" w:lastColumn="0" w:oddVBand="0" w:evenVBand="0" w:oddHBand="0" w:evenHBand="0" w:firstRowFirstColumn="0" w:firstRowLastColumn="0" w:lastRowFirstColumn="0" w:lastRowLastColumn="0"/>
              <w:rPr>
                <w:rFonts w:ascii="Abadi Extra Light" w:eastAsia="Times New Roman" w:hAnsi="Abadi Extra Light" w:cs="Calibri"/>
                <w:color w:val="000000"/>
                <w:sz w:val="20"/>
                <w:szCs w:val="20"/>
                <w:lang w:val="en-KE" w:eastAsia="en-KE"/>
              </w:rPr>
            </w:pPr>
            <w:r w:rsidRPr="00BF5DF5">
              <w:rPr>
                <w:rFonts w:ascii="Abadi Extra Light" w:eastAsia="Times New Roman" w:hAnsi="Abadi Extra Light" w:cs="Calibri"/>
                <w:color w:val="000000"/>
                <w:sz w:val="20"/>
                <w:szCs w:val="20"/>
                <w:lang w:val="en-KE" w:eastAsia="en-KE"/>
              </w:rPr>
              <w:t>County Planning</w:t>
            </w:r>
          </w:p>
        </w:tc>
        <w:tc>
          <w:tcPr>
            <w:tcW w:w="1339" w:type="dxa"/>
            <w:noWrap/>
            <w:hideMark/>
          </w:tcPr>
          <w:p w14:paraId="577C0B6D" w14:textId="77777777" w:rsidR="00AB07D3" w:rsidRPr="00BF5DF5" w:rsidRDefault="00AB07D3" w:rsidP="00373E9F">
            <w:pPr>
              <w:cnfStyle w:val="000000000000" w:firstRow="0" w:lastRow="0" w:firstColumn="0" w:lastColumn="0" w:oddVBand="0" w:evenVBand="0" w:oddHBand="0" w:evenHBand="0" w:firstRowFirstColumn="0" w:firstRowLastColumn="0" w:lastRowFirstColumn="0" w:lastRowLastColumn="0"/>
              <w:rPr>
                <w:rFonts w:ascii="Abadi Extra Light" w:eastAsia="Times New Roman" w:hAnsi="Abadi Extra Light" w:cs="Calibri"/>
                <w:color w:val="000000"/>
                <w:sz w:val="20"/>
                <w:szCs w:val="20"/>
                <w:lang w:val="en-KE" w:eastAsia="en-KE"/>
              </w:rPr>
            </w:pPr>
            <w:r w:rsidRPr="00BF5DF5">
              <w:rPr>
                <w:rFonts w:ascii="Abadi Extra Light" w:eastAsia="Times New Roman" w:hAnsi="Abadi Extra Light" w:cs="Calibri"/>
                <w:color w:val="000000"/>
                <w:sz w:val="20"/>
                <w:szCs w:val="20"/>
                <w:lang w:val="en-KE" w:eastAsia="en-KE"/>
              </w:rPr>
              <w:t>1st Sep</w:t>
            </w:r>
          </w:p>
        </w:tc>
        <w:tc>
          <w:tcPr>
            <w:tcW w:w="1237" w:type="dxa"/>
            <w:noWrap/>
            <w:hideMark/>
          </w:tcPr>
          <w:p w14:paraId="4CCF284B" w14:textId="77777777" w:rsidR="00AB07D3" w:rsidRPr="00BF5DF5" w:rsidRDefault="00AB07D3" w:rsidP="00373E9F">
            <w:pPr>
              <w:cnfStyle w:val="000000000000" w:firstRow="0" w:lastRow="0" w:firstColumn="0" w:lastColumn="0" w:oddVBand="0" w:evenVBand="0" w:oddHBand="0" w:evenHBand="0" w:firstRowFirstColumn="0" w:firstRowLastColumn="0" w:lastRowFirstColumn="0" w:lastRowLastColumn="0"/>
              <w:rPr>
                <w:rFonts w:ascii="Abadi Extra Light" w:eastAsia="Times New Roman" w:hAnsi="Abadi Extra Light" w:cs="Calibri"/>
                <w:color w:val="000000"/>
                <w:sz w:val="20"/>
                <w:szCs w:val="20"/>
                <w:lang w:val="en-KE" w:eastAsia="en-KE"/>
              </w:rPr>
            </w:pPr>
          </w:p>
        </w:tc>
      </w:tr>
      <w:tr w:rsidR="00AB07D3" w:rsidRPr="0021178B" w14:paraId="75540484" w14:textId="77777777" w:rsidTr="00AB07D3">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4667" w:type="dxa"/>
            <w:noWrap/>
            <w:hideMark/>
          </w:tcPr>
          <w:p w14:paraId="1CCAC7C8" w14:textId="77777777" w:rsidR="00AB07D3" w:rsidRPr="00BF5DF5" w:rsidRDefault="00AB07D3" w:rsidP="00373E9F">
            <w:pPr>
              <w:rPr>
                <w:rFonts w:ascii="Abadi Extra Light" w:eastAsia="Times New Roman" w:hAnsi="Abadi Extra Light" w:cs="Calibri"/>
                <w:b w:val="0"/>
                <w:bCs w:val="0"/>
                <w:color w:val="000000"/>
                <w:sz w:val="20"/>
                <w:szCs w:val="20"/>
                <w:lang w:val="en-KE" w:eastAsia="en-KE"/>
              </w:rPr>
            </w:pPr>
            <w:r w:rsidRPr="00BF5DF5">
              <w:rPr>
                <w:rFonts w:ascii="Abadi Extra Light" w:eastAsia="Times New Roman" w:hAnsi="Abadi Extra Light" w:cs="Calibri"/>
                <w:b w:val="0"/>
                <w:bCs w:val="0"/>
                <w:color w:val="000000"/>
                <w:sz w:val="20"/>
                <w:szCs w:val="20"/>
                <w:lang w:val="en-KE" w:eastAsia="en-KE"/>
              </w:rPr>
              <w:t>Pub</w:t>
            </w:r>
            <w:r w:rsidRPr="0021178B">
              <w:rPr>
                <w:rFonts w:ascii="Abadi Extra Light" w:eastAsia="Times New Roman" w:hAnsi="Abadi Extra Light" w:cs="Calibri"/>
                <w:b w:val="0"/>
                <w:bCs w:val="0"/>
                <w:color w:val="000000"/>
                <w:sz w:val="20"/>
                <w:szCs w:val="20"/>
                <w:lang w:eastAsia="en-KE"/>
              </w:rPr>
              <w:t>l</w:t>
            </w:r>
            <w:r w:rsidRPr="00BF5DF5">
              <w:rPr>
                <w:rFonts w:ascii="Abadi Extra Light" w:eastAsia="Times New Roman" w:hAnsi="Abadi Extra Light" w:cs="Calibri"/>
                <w:b w:val="0"/>
                <w:bCs w:val="0"/>
                <w:color w:val="000000"/>
                <w:sz w:val="20"/>
                <w:szCs w:val="20"/>
                <w:lang w:val="en-KE" w:eastAsia="en-KE"/>
              </w:rPr>
              <w:t>ish</w:t>
            </w:r>
          </w:p>
        </w:tc>
        <w:tc>
          <w:tcPr>
            <w:tcW w:w="2044" w:type="dxa"/>
            <w:noWrap/>
            <w:hideMark/>
          </w:tcPr>
          <w:p w14:paraId="2A5EF32A" w14:textId="77777777" w:rsidR="00AB07D3" w:rsidRPr="00BF5DF5" w:rsidRDefault="00AB07D3" w:rsidP="00373E9F">
            <w:pPr>
              <w:cnfStyle w:val="000000100000" w:firstRow="0" w:lastRow="0" w:firstColumn="0" w:lastColumn="0" w:oddVBand="0" w:evenVBand="0" w:oddHBand="1" w:evenHBand="0" w:firstRowFirstColumn="0" w:firstRowLastColumn="0" w:lastRowFirstColumn="0" w:lastRowLastColumn="0"/>
              <w:rPr>
                <w:rFonts w:ascii="Abadi Extra Light" w:eastAsia="Times New Roman" w:hAnsi="Abadi Extra Light" w:cs="Calibri"/>
                <w:color w:val="000000"/>
                <w:sz w:val="20"/>
                <w:szCs w:val="20"/>
                <w:lang w:val="en-KE" w:eastAsia="en-KE"/>
              </w:rPr>
            </w:pPr>
            <w:r w:rsidRPr="00BF5DF5">
              <w:rPr>
                <w:rFonts w:ascii="Abadi Extra Light" w:eastAsia="Times New Roman" w:hAnsi="Abadi Extra Light" w:cs="Calibri"/>
                <w:color w:val="000000"/>
                <w:sz w:val="20"/>
                <w:szCs w:val="20"/>
                <w:lang w:val="en-KE" w:eastAsia="en-KE"/>
              </w:rPr>
              <w:t>County Planning</w:t>
            </w:r>
          </w:p>
        </w:tc>
        <w:tc>
          <w:tcPr>
            <w:tcW w:w="1339" w:type="dxa"/>
            <w:noWrap/>
            <w:hideMark/>
          </w:tcPr>
          <w:p w14:paraId="17A34BE1" w14:textId="77777777" w:rsidR="00AB07D3" w:rsidRPr="00BF5DF5" w:rsidRDefault="00AB07D3" w:rsidP="00373E9F">
            <w:pPr>
              <w:cnfStyle w:val="000000100000" w:firstRow="0" w:lastRow="0" w:firstColumn="0" w:lastColumn="0" w:oddVBand="0" w:evenVBand="0" w:oddHBand="1" w:evenHBand="0" w:firstRowFirstColumn="0" w:firstRowLastColumn="0" w:lastRowFirstColumn="0" w:lastRowLastColumn="0"/>
              <w:rPr>
                <w:rFonts w:ascii="Abadi Extra Light" w:eastAsia="Times New Roman" w:hAnsi="Abadi Extra Light" w:cs="Calibri"/>
                <w:color w:val="000000"/>
                <w:sz w:val="20"/>
                <w:szCs w:val="20"/>
                <w:lang w:val="en-KE" w:eastAsia="en-KE"/>
              </w:rPr>
            </w:pPr>
            <w:r w:rsidRPr="00BF5DF5">
              <w:rPr>
                <w:rFonts w:ascii="Abadi Extra Light" w:eastAsia="Times New Roman" w:hAnsi="Abadi Extra Light" w:cs="Calibri"/>
                <w:color w:val="000000"/>
                <w:sz w:val="20"/>
                <w:szCs w:val="20"/>
                <w:lang w:val="en-KE" w:eastAsia="en-KE"/>
              </w:rPr>
              <w:t>8th Sep</w:t>
            </w:r>
          </w:p>
        </w:tc>
        <w:tc>
          <w:tcPr>
            <w:tcW w:w="1237" w:type="dxa"/>
            <w:shd w:val="clear" w:color="auto" w:fill="C00000"/>
            <w:noWrap/>
            <w:hideMark/>
          </w:tcPr>
          <w:p w14:paraId="6EA2C45D" w14:textId="77777777" w:rsidR="00AB07D3" w:rsidRPr="00BF5DF5" w:rsidRDefault="00AB07D3" w:rsidP="00373E9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KE" w:eastAsia="en-KE"/>
              </w:rPr>
            </w:pPr>
            <w:r w:rsidRPr="00BF5DF5">
              <w:rPr>
                <w:rFonts w:ascii="Calibri" w:eastAsia="Times New Roman" w:hAnsi="Calibri" w:cs="Calibri"/>
                <w:color w:val="000000"/>
                <w:sz w:val="20"/>
                <w:szCs w:val="20"/>
                <w:lang w:val="en-KE" w:eastAsia="en-KE"/>
              </w:rPr>
              <w:t> </w:t>
            </w:r>
          </w:p>
        </w:tc>
      </w:tr>
      <w:tr w:rsidR="00AB07D3" w:rsidRPr="00BF5DF5" w14:paraId="3BD234D6" w14:textId="77777777" w:rsidTr="00AB07D3">
        <w:trPr>
          <w:trHeight w:val="306"/>
        </w:trPr>
        <w:tc>
          <w:tcPr>
            <w:cnfStyle w:val="001000000000" w:firstRow="0" w:lastRow="0" w:firstColumn="1" w:lastColumn="0" w:oddVBand="0" w:evenVBand="0" w:oddHBand="0" w:evenHBand="0" w:firstRowFirstColumn="0" w:firstRowLastColumn="0" w:lastRowFirstColumn="0" w:lastRowLastColumn="0"/>
            <w:tcW w:w="4667" w:type="dxa"/>
            <w:noWrap/>
            <w:hideMark/>
          </w:tcPr>
          <w:p w14:paraId="333E28FA" w14:textId="77777777" w:rsidR="00AB07D3" w:rsidRPr="00BF5DF5" w:rsidRDefault="00AB07D3" w:rsidP="00373E9F">
            <w:pPr>
              <w:rPr>
                <w:rFonts w:ascii="Franklin Gothic Demi" w:eastAsia="Times New Roman" w:hAnsi="Franklin Gothic Demi" w:cs="Calibri"/>
                <w:b w:val="0"/>
                <w:bCs w:val="0"/>
                <w:color w:val="000000"/>
                <w:sz w:val="20"/>
                <w:szCs w:val="20"/>
                <w:lang w:val="en-KE" w:eastAsia="en-KE"/>
              </w:rPr>
            </w:pPr>
            <w:r w:rsidRPr="00BF5DF5">
              <w:rPr>
                <w:rFonts w:ascii="Franklin Gothic Demi" w:eastAsia="Times New Roman" w:hAnsi="Franklin Gothic Demi" w:cs="Calibri"/>
                <w:b w:val="0"/>
                <w:bCs w:val="0"/>
                <w:color w:val="000000"/>
                <w:sz w:val="20"/>
                <w:szCs w:val="20"/>
                <w:lang w:val="en-KE" w:eastAsia="en-KE"/>
              </w:rPr>
              <w:t xml:space="preserve">Finance Bill </w:t>
            </w:r>
          </w:p>
        </w:tc>
        <w:tc>
          <w:tcPr>
            <w:tcW w:w="2044" w:type="dxa"/>
            <w:noWrap/>
            <w:hideMark/>
          </w:tcPr>
          <w:p w14:paraId="72B6BD62" w14:textId="77777777" w:rsidR="00AB07D3" w:rsidRPr="00BF5DF5" w:rsidRDefault="00AB07D3" w:rsidP="00373E9F">
            <w:pPr>
              <w:cnfStyle w:val="000000000000" w:firstRow="0" w:lastRow="0" w:firstColumn="0" w:lastColumn="0" w:oddVBand="0" w:evenVBand="0" w:oddHBand="0" w:evenHBand="0" w:firstRowFirstColumn="0" w:firstRowLastColumn="0" w:lastRowFirstColumn="0" w:lastRowLastColumn="0"/>
              <w:rPr>
                <w:rFonts w:ascii="Franklin Gothic Demi" w:eastAsia="Times New Roman" w:hAnsi="Franklin Gothic Demi" w:cs="Calibri"/>
                <w:color w:val="000000"/>
                <w:sz w:val="20"/>
                <w:szCs w:val="20"/>
                <w:lang w:val="en-KE" w:eastAsia="en-KE"/>
              </w:rPr>
            </w:pPr>
          </w:p>
        </w:tc>
        <w:tc>
          <w:tcPr>
            <w:tcW w:w="1339" w:type="dxa"/>
            <w:noWrap/>
            <w:hideMark/>
          </w:tcPr>
          <w:p w14:paraId="678C4C24" w14:textId="77777777" w:rsidR="00AB07D3" w:rsidRPr="00BF5DF5" w:rsidRDefault="00AB07D3" w:rsidP="00373E9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KE" w:eastAsia="en-KE"/>
              </w:rPr>
            </w:pPr>
          </w:p>
        </w:tc>
        <w:tc>
          <w:tcPr>
            <w:tcW w:w="1237" w:type="dxa"/>
            <w:noWrap/>
            <w:hideMark/>
          </w:tcPr>
          <w:p w14:paraId="0C51DE84" w14:textId="77777777" w:rsidR="00AB07D3" w:rsidRPr="00BF5DF5" w:rsidRDefault="00AB07D3" w:rsidP="00373E9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KE" w:eastAsia="en-KE"/>
              </w:rPr>
            </w:pPr>
          </w:p>
        </w:tc>
      </w:tr>
      <w:tr w:rsidR="00AB07D3" w:rsidRPr="0021178B" w14:paraId="75AB609B" w14:textId="77777777" w:rsidTr="003729E7">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4667" w:type="dxa"/>
            <w:noWrap/>
            <w:hideMark/>
          </w:tcPr>
          <w:p w14:paraId="0A41C924" w14:textId="77777777" w:rsidR="00AB07D3" w:rsidRPr="00BF5DF5" w:rsidRDefault="00AB07D3" w:rsidP="00373E9F">
            <w:pPr>
              <w:rPr>
                <w:rFonts w:ascii="Abadi Extra Light" w:eastAsia="Times New Roman" w:hAnsi="Abadi Extra Light" w:cs="Calibri"/>
                <w:b w:val="0"/>
                <w:bCs w:val="0"/>
                <w:color w:val="000000"/>
                <w:sz w:val="20"/>
                <w:szCs w:val="20"/>
                <w:lang w:val="en-KE" w:eastAsia="en-KE"/>
              </w:rPr>
            </w:pPr>
            <w:r w:rsidRPr="00BF5DF5">
              <w:rPr>
                <w:rFonts w:ascii="Abadi Extra Light" w:eastAsia="Times New Roman" w:hAnsi="Abadi Extra Light" w:cs="Calibri"/>
                <w:b w:val="0"/>
                <w:bCs w:val="0"/>
                <w:color w:val="000000"/>
                <w:sz w:val="20"/>
                <w:szCs w:val="20"/>
                <w:lang w:val="en-KE" w:eastAsia="en-KE"/>
              </w:rPr>
              <w:t>Submission for consideration by CA</w:t>
            </w:r>
          </w:p>
        </w:tc>
        <w:tc>
          <w:tcPr>
            <w:tcW w:w="2044" w:type="dxa"/>
            <w:noWrap/>
            <w:hideMark/>
          </w:tcPr>
          <w:p w14:paraId="18CE23ED" w14:textId="77777777" w:rsidR="00AB07D3" w:rsidRPr="00BF5DF5" w:rsidRDefault="00AB07D3" w:rsidP="00373E9F">
            <w:pPr>
              <w:cnfStyle w:val="000000100000" w:firstRow="0" w:lastRow="0" w:firstColumn="0" w:lastColumn="0" w:oddVBand="0" w:evenVBand="0" w:oddHBand="1" w:evenHBand="0" w:firstRowFirstColumn="0" w:firstRowLastColumn="0" w:lastRowFirstColumn="0" w:lastRowLastColumn="0"/>
              <w:rPr>
                <w:rFonts w:ascii="Abadi Extra Light" w:eastAsia="Times New Roman" w:hAnsi="Abadi Extra Light" w:cs="Calibri"/>
                <w:color w:val="000000"/>
                <w:sz w:val="20"/>
                <w:szCs w:val="20"/>
                <w:lang w:val="en-KE" w:eastAsia="en-KE"/>
              </w:rPr>
            </w:pPr>
            <w:r w:rsidRPr="00BF5DF5">
              <w:rPr>
                <w:rFonts w:ascii="Abadi Extra Light" w:eastAsia="Times New Roman" w:hAnsi="Abadi Extra Light" w:cs="Calibri"/>
                <w:color w:val="000000"/>
                <w:sz w:val="20"/>
                <w:szCs w:val="20"/>
                <w:lang w:val="en-KE" w:eastAsia="en-KE"/>
              </w:rPr>
              <w:t>County Treasury</w:t>
            </w:r>
          </w:p>
        </w:tc>
        <w:tc>
          <w:tcPr>
            <w:tcW w:w="1339" w:type="dxa"/>
            <w:noWrap/>
            <w:hideMark/>
          </w:tcPr>
          <w:p w14:paraId="3744F744" w14:textId="77777777" w:rsidR="00AB07D3" w:rsidRPr="00BF5DF5" w:rsidRDefault="00AB07D3" w:rsidP="00373E9F">
            <w:pPr>
              <w:cnfStyle w:val="000000100000" w:firstRow="0" w:lastRow="0" w:firstColumn="0" w:lastColumn="0" w:oddVBand="0" w:evenVBand="0" w:oddHBand="1" w:evenHBand="0" w:firstRowFirstColumn="0" w:firstRowLastColumn="0" w:lastRowFirstColumn="0" w:lastRowLastColumn="0"/>
              <w:rPr>
                <w:rFonts w:ascii="Abadi Extra Light" w:eastAsia="Times New Roman" w:hAnsi="Abadi Extra Light" w:cs="Calibri"/>
                <w:color w:val="000000"/>
                <w:sz w:val="20"/>
                <w:szCs w:val="20"/>
                <w:lang w:val="en-KE" w:eastAsia="en-KE"/>
              </w:rPr>
            </w:pPr>
            <w:r w:rsidRPr="00BF5DF5">
              <w:rPr>
                <w:rFonts w:ascii="Abadi Extra Light" w:eastAsia="Times New Roman" w:hAnsi="Abadi Extra Light" w:cs="Calibri"/>
                <w:color w:val="000000"/>
                <w:sz w:val="20"/>
                <w:szCs w:val="20"/>
                <w:lang w:val="en-KE" w:eastAsia="en-KE"/>
              </w:rPr>
              <w:t>30th June</w:t>
            </w:r>
          </w:p>
        </w:tc>
        <w:tc>
          <w:tcPr>
            <w:tcW w:w="1237" w:type="dxa"/>
            <w:shd w:val="clear" w:color="auto" w:fill="C00000"/>
            <w:noWrap/>
            <w:hideMark/>
          </w:tcPr>
          <w:p w14:paraId="6BCEC012" w14:textId="77777777" w:rsidR="00AB07D3" w:rsidRPr="00BF5DF5" w:rsidRDefault="00AB07D3" w:rsidP="00373E9F">
            <w:pPr>
              <w:cnfStyle w:val="000000100000" w:firstRow="0" w:lastRow="0" w:firstColumn="0" w:lastColumn="0" w:oddVBand="0" w:evenVBand="0" w:oddHBand="1" w:evenHBand="0" w:firstRowFirstColumn="0" w:firstRowLastColumn="0" w:lastRowFirstColumn="0" w:lastRowLastColumn="0"/>
              <w:rPr>
                <w:rFonts w:ascii="Abadi Extra Light" w:eastAsia="Times New Roman" w:hAnsi="Abadi Extra Light" w:cs="Calibri"/>
                <w:color w:val="000000"/>
                <w:sz w:val="20"/>
                <w:szCs w:val="20"/>
                <w:lang w:val="en-KE" w:eastAsia="en-KE"/>
              </w:rPr>
            </w:pPr>
          </w:p>
        </w:tc>
      </w:tr>
      <w:tr w:rsidR="00AB07D3" w:rsidRPr="00BF5DF5" w14:paraId="09BE9F1F" w14:textId="77777777" w:rsidTr="00AB07D3">
        <w:trPr>
          <w:trHeight w:val="296"/>
        </w:trPr>
        <w:tc>
          <w:tcPr>
            <w:cnfStyle w:val="001000000000" w:firstRow="0" w:lastRow="0" w:firstColumn="1" w:lastColumn="0" w:oddVBand="0" w:evenVBand="0" w:oddHBand="0" w:evenHBand="0" w:firstRowFirstColumn="0" w:firstRowLastColumn="0" w:lastRowFirstColumn="0" w:lastRowLastColumn="0"/>
            <w:tcW w:w="4667" w:type="dxa"/>
            <w:noWrap/>
            <w:hideMark/>
          </w:tcPr>
          <w:p w14:paraId="4AA61411" w14:textId="77777777" w:rsidR="00AB07D3" w:rsidRPr="00BF5DF5" w:rsidRDefault="00AB07D3" w:rsidP="00373E9F">
            <w:pPr>
              <w:rPr>
                <w:rFonts w:ascii="Abadi Extra Light" w:eastAsia="Times New Roman" w:hAnsi="Abadi Extra Light" w:cs="Calibri"/>
                <w:b w:val="0"/>
                <w:bCs w:val="0"/>
                <w:color w:val="000000"/>
                <w:sz w:val="20"/>
                <w:szCs w:val="20"/>
                <w:lang w:val="en-KE" w:eastAsia="en-KE"/>
              </w:rPr>
            </w:pPr>
            <w:r w:rsidRPr="00BF5DF5">
              <w:rPr>
                <w:rFonts w:ascii="Abadi Extra Light" w:eastAsia="Times New Roman" w:hAnsi="Abadi Extra Light" w:cs="Calibri"/>
                <w:b w:val="0"/>
                <w:bCs w:val="0"/>
                <w:color w:val="000000"/>
                <w:sz w:val="20"/>
                <w:szCs w:val="20"/>
                <w:lang w:val="en-KE" w:eastAsia="en-KE"/>
              </w:rPr>
              <w:t>Approval</w:t>
            </w:r>
          </w:p>
        </w:tc>
        <w:tc>
          <w:tcPr>
            <w:tcW w:w="2044" w:type="dxa"/>
            <w:noWrap/>
            <w:hideMark/>
          </w:tcPr>
          <w:p w14:paraId="605CB075" w14:textId="77777777" w:rsidR="00AB07D3" w:rsidRPr="00BF5DF5" w:rsidRDefault="00AB07D3" w:rsidP="00373E9F">
            <w:pPr>
              <w:cnfStyle w:val="000000000000" w:firstRow="0" w:lastRow="0" w:firstColumn="0" w:lastColumn="0" w:oddVBand="0" w:evenVBand="0" w:oddHBand="0" w:evenHBand="0" w:firstRowFirstColumn="0" w:firstRowLastColumn="0" w:lastRowFirstColumn="0" w:lastRowLastColumn="0"/>
              <w:rPr>
                <w:rFonts w:ascii="Abadi Extra Light" w:eastAsia="Times New Roman" w:hAnsi="Abadi Extra Light" w:cs="Calibri"/>
                <w:color w:val="000000"/>
                <w:sz w:val="20"/>
                <w:szCs w:val="20"/>
                <w:lang w:val="en-KE" w:eastAsia="en-KE"/>
              </w:rPr>
            </w:pPr>
            <w:r w:rsidRPr="00BF5DF5">
              <w:rPr>
                <w:rFonts w:ascii="Abadi Extra Light" w:eastAsia="Times New Roman" w:hAnsi="Abadi Extra Light" w:cs="Calibri"/>
                <w:color w:val="000000"/>
                <w:sz w:val="20"/>
                <w:szCs w:val="20"/>
                <w:lang w:val="en-KE" w:eastAsia="en-KE"/>
              </w:rPr>
              <w:t>County Assembly</w:t>
            </w:r>
          </w:p>
        </w:tc>
        <w:tc>
          <w:tcPr>
            <w:tcW w:w="1339" w:type="dxa"/>
            <w:noWrap/>
            <w:hideMark/>
          </w:tcPr>
          <w:p w14:paraId="5EEA6200" w14:textId="77777777" w:rsidR="00AB07D3" w:rsidRPr="00BF5DF5" w:rsidRDefault="00AB07D3" w:rsidP="00373E9F">
            <w:pPr>
              <w:cnfStyle w:val="000000000000" w:firstRow="0" w:lastRow="0" w:firstColumn="0" w:lastColumn="0" w:oddVBand="0" w:evenVBand="0" w:oddHBand="0" w:evenHBand="0" w:firstRowFirstColumn="0" w:firstRowLastColumn="0" w:lastRowFirstColumn="0" w:lastRowLastColumn="0"/>
              <w:rPr>
                <w:rFonts w:ascii="Abadi Extra Light" w:eastAsia="Times New Roman" w:hAnsi="Abadi Extra Light" w:cs="Calibri"/>
                <w:color w:val="000000"/>
                <w:sz w:val="20"/>
                <w:szCs w:val="20"/>
                <w:lang w:val="en-KE" w:eastAsia="en-KE"/>
              </w:rPr>
            </w:pPr>
            <w:r w:rsidRPr="00BF5DF5">
              <w:rPr>
                <w:rFonts w:ascii="Abadi Extra Light" w:eastAsia="Times New Roman" w:hAnsi="Abadi Extra Light" w:cs="Calibri"/>
                <w:color w:val="000000"/>
                <w:sz w:val="20"/>
                <w:szCs w:val="20"/>
                <w:lang w:val="en-KE" w:eastAsia="en-KE"/>
              </w:rPr>
              <w:t>30th Sept</w:t>
            </w:r>
          </w:p>
        </w:tc>
        <w:tc>
          <w:tcPr>
            <w:tcW w:w="1237" w:type="dxa"/>
            <w:noWrap/>
            <w:hideMark/>
          </w:tcPr>
          <w:p w14:paraId="60BE909C" w14:textId="77777777" w:rsidR="00AB07D3" w:rsidRPr="00BF5DF5" w:rsidRDefault="00AB07D3" w:rsidP="00373E9F">
            <w:pPr>
              <w:cnfStyle w:val="000000000000" w:firstRow="0" w:lastRow="0" w:firstColumn="0" w:lastColumn="0" w:oddVBand="0" w:evenVBand="0" w:oddHBand="0" w:evenHBand="0" w:firstRowFirstColumn="0" w:firstRowLastColumn="0" w:lastRowFirstColumn="0" w:lastRowLastColumn="0"/>
              <w:rPr>
                <w:rFonts w:ascii="Abadi Extra Light" w:eastAsia="Times New Roman" w:hAnsi="Abadi Extra Light" w:cs="Calibri"/>
                <w:color w:val="000000"/>
                <w:sz w:val="20"/>
                <w:szCs w:val="20"/>
                <w:lang w:val="en-KE" w:eastAsia="en-KE"/>
              </w:rPr>
            </w:pPr>
          </w:p>
        </w:tc>
      </w:tr>
      <w:tr w:rsidR="00AB07D3" w:rsidRPr="0021178B" w14:paraId="7E5E438D" w14:textId="77777777" w:rsidTr="00AB07D3">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4667" w:type="dxa"/>
            <w:noWrap/>
            <w:hideMark/>
          </w:tcPr>
          <w:p w14:paraId="70EB11B2" w14:textId="77777777" w:rsidR="00AB07D3" w:rsidRPr="00BF5DF5" w:rsidRDefault="00AB07D3" w:rsidP="00373E9F">
            <w:pPr>
              <w:rPr>
                <w:rFonts w:ascii="Franklin Gothic Demi" w:eastAsia="Times New Roman" w:hAnsi="Franklin Gothic Demi" w:cs="Calibri"/>
                <w:b w:val="0"/>
                <w:bCs w:val="0"/>
                <w:color w:val="000000"/>
                <w:sz w:val="20"/>
                <w:szCs w:val="20"/>
                <w:lang w:val="en-KE" w:eastAsia="en-KE"/>
              </w:rPr>
            </w:pPr>
            <w:r w:rsidRPr="00BF5DF5">
              <w:rPr>
                <w:rFonts w:ascii="Franklin Gothic Demi" w:eastAsia="Times New Roman" w:hAnsi="Franklin Gothic Demi" w:cs="Calibri"/>
                <w:b w:val="0"/>
                <w:bCs w:val="0"/>
                <w:color w:val="000000"/>
                <w:sz w:val="20"/>
                <w:szCs w:val="20"/>
                <w:lang w:val="en-KE" w:eastAsia="en-KE"/>
              </w:rPr>
              <w:t xml:space="preserve">County Budget Review and Outlook Paper </w:t>
            </w:r>
          </w:p>
        </w:tc>
        <w:tc>
          <w:tcPr>
            <w:tcW w:w="2044" w:type="dxa"/>
            <w:noWrap/>
            <w:hideMark/>
          </w:tcPr>
          <w:p w14:paraId="0512C4AA" w14:textId="77777777" w:rsidR="00AB07D3" w:rsidRPr="00BF5DF5" w:rsidRDefault="00AB07D3" w:rsidP="00373E9F">
            <w:pPr>
              <w:cnfStyle w:val="000000100000" w:firstRow="0" w:lastRow="0" w:firstColumn="0" w:lastColumn="0" w:oddVBand="0" w:evenVBand="0" w:oddHBand="1" w:evenHBand="0" w:firstRowFirstColumn="0" w:firstRowLastColumn="0" w:lastRowFirstColumn="0" w:lastRowLastColumn="0"/>
              <w:rPr>
                <w:rFonts w:ascii="Franklin Gothic Demi" w:eastAsia="Times New Roman" w:hAnsi="Franklin Gothic Demi" w:cs="Calibri"/>
                <w:color w:val="000000"/>
                <w:sz w:val="20"/>
                <w:szCs w:val="20"/>
                <w:lang w:val="en-KE" w:eastAsia="en-KE"/>
              </w:rPr>
            </w:pPr>
          </w:p>
        </w:tc>
        <w:tc>
          <w:tcPr>
            <w:tcW w:w="1339" w:type="dxa"/>
            <w:noWrap/>
            <w:hideMark/>
          </w:tcPr>
          <w:p w14:paraId="3C0F6FEC" w14:textId="77777777" w:rsidR="00AB07D3" w:rsidRPr="00BF5DF5" w:rsidRDefault="00AB07D3" w:rsidP="00373E9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KE" w:eastAsia="en-KE"/>
              </w:rPr>
            </w:pPr>
          </w:p>
        </w:tc>
        <w:tc>
          <w:tcPr>
            <w:tcW w:w="1237" w:type="dxa"/>
            <w:noWrap/>
            <w:hideMark/>
          </w:tcPr>
          <w:p w14:paraId="3745731F" w14:textId="77777777" w:rsidR="00AB07D3" w:rsidRPr="00BF5DF5" w:rsidRDefault="00AB07D3" w:rsidP="00373E9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KE" w:eastAsia="en-KE"/>
              </w:rPr>
            </w:pPr>
          </w:p>
        </w:tc>
      </w:tr>
      <w:tr w:rsidR="00AB07D3" w:rsidRPr="00BF5DF5" w14:paraId="39ECDC78" w14:textId="77777777" w:rsidTr="00AB07D3">
        <w:trPr>
          <w:trHeight w:val="296"/>
        </w:trPr>
        <w:tc>
          <w:tcPr>
            <w:cnfStyle w:val="001000000000" w:firstRow="0" w:lastRow="0" w:firstColumn="1" w:lastColumn="0" w:oddVBand="0" w:evenVBand="0" w:oddHBand="0" w:evenHBand="0" w:firstRowFirstColumn="0" w:firstRowLastColumn="0" w:lastRowFirstColumn="0" w:lastRowLastColumn="0"/>
            <w:tcW w:w="4667" w:type="dxa"/>
            <w:noWrap/>
            <w:hideMark/>
          </w:tcPr>
          <w:p w14:paraId="01526985" w14:textId="77777777" w:rsidR="00AB07D3" w:rsidRPr="00BF5DF5" w:rsidRDefault="00AB07D3" w:rsidP="00373E9F">
            <w:pPr>
              <w:rPr>
                <w:rFonts w:ascii="Abadi Extra Light" w:eastAsia="Times New Roman" w:hAnsi="Abadi Extra Light" w:cs="Calibri"/>
                <w:b w:val="0"/>
                <w:bCs w:val="0"/>
                <w:color w:val="000000"/>
                <w:sz w:val="20"/>
                <w:szCs w:val="20"/>
                <w:lang w:val="en-KE" w:eastAsia="en-KE"/>
              </w:rPr>
            </w:pPr>
            <w:r w:rsidRPr="00BF5DF5">
              <w:rPr>
                <w:rFonts w:ascii="Abadi Extra Light" w:eastAsia="Times New Roman" w:hAnsi="Abadi Extra Light" w:cs="Calibri"/>
                <w:b w:val="0"/>
                <w:bCs w:val="0"/>
                <w:color w:val="000000"/>
                <w:sz w:val="20"/>
                <w:szCs w:val="20"/>
                <w:lang w:val="en-KE" w:eastAsia="en-KE"/>
              </w:rPr>
              <w:t>Preparation &amp; Submission to County Exec Cttee</w:t>
            </w:r>
          </w:p>
        </w:tc>
        <w:tc>
          <w:tcPr>
            <w:tcW w:w="2044" w:type="dxa"/>
            <w:noWrap/>
            <w:hideMark/>
          </w:tcPr>
          <w:p w14:paraId="51A6B901" w14:textId="77777777" w:rsidR="00AB07D3" w:rsidRPr="00BF5DF5" w:rsidRDefault="00AB07D3" w:rsidP="00373E9F">
            <w:pPr>
              <w:cnfStyle w:val="000000000000" w:firstRow="0" w:lastRow="0" w:firstColumn="0" w:lastColumn="0" w:oddVBand="0" w:evenVBand="0" w:oddHBand="0" w:evenHBand="0" w:firstRowFirstColumn="0" w:firstRowLastColumn="0" w:lastRowFirstColumn="0" w:lastRowLastColumn="0"/>
              <w:rPr>
                <w:rFonts w:ascii="Abadi Extra Light" w:eastAsia="Times New Roman" w:hAnsi="Abadi Extra Light" w:cs="Calibri"/>
                <w:color w:val="000000"/>
                <w:sz w:val="20"/>
                <w:szCs w:val="20"/>
                <w:lang w:val="en-KE" w:eastAsia="en-KE"/>
              </w:rPr>
            </w:pPr>
            <w:r w:rsidRPr="00BF5DF5">
              <w:rPr>
                <w:rFonts w:ascii="Abadi Extra Light" w:eastAsia="Times New Roman" w:hAnsi="Abadi Extra Light" w:cs="Calibri"/>
                <w:color w:val="000000"/>
                <w:sz w:val="20"/>
                <w:szCs w:val="20"/>
                <w:lang w:val="en-KE" w:eastAsia="en-KE"/>
              </w:rPr>
              <w:t>County Treasury</w:t>
            </w:r>
          </w:p>
        </w:tc>
        <w:tc>
          <w:tcPr>
            <w:tcW w:w="1339" w:type="dxa"/>
            <w:noWrap/>
            <w:hideMark/>
          </w:tcPr>
          <w:p w14:paraId="04144338" w14:textId="77777777" w:rsidR="00AB07D3" w:rsidRPr="00BF5DF5" w:rsidRDefault="00AB07D3" w:rsidP="00373E9F">
            <w:pPr>
              <w:cnfStyle w:val="000000000000" w:firstRow="0" w:lastRow="0" w:firstColumn="0" w:lastColumn="0" w:oddVBand="0" w:evenVBand="0" w:oddHBand="0" w:evenHBand="0" w:firstRowFirstColumn="0" w:firstRowLastColumn="0" w:lastRowFirstColumn="0" w:lastRowLastColumn="0"/>
              <w:rPr>
                <w:rFonts w:ascii="Abadi Extra Light" w:eastAsia="Times New Roman" w:hAnsi="Abadi Extra Light" w:cs="Calibri"/>
                <w:color w:val="000000"/>
                <w:sz w:val="20"/>
                <w:szCs w:val="20"/>
                <w:lang w:val="en-KE" w:eastAsia="en-KE"/>
              </w:rPr>
            </w:pPr>
            <w:r w:rsidRPr="00BF5DF5">
              <w:rPr>
                <w:rFonts w:ascii="Abadi Extra Light" w:eastAsia="Times New Roman" w:hAnsi="Abadi Extra Light" w:cs="Calibri"/>
                <w:color w:val="000000"/>
                <w:sz w:val="20"/>
                <w:szCs w:val="20"/>
                <w:lang w:val="en-KE" w:eastAsia="en-KE"/>
              </w:rPr>
              <w:t xml:space="preserve">30th Sept </w:t>
            </w:r>
          </w:p>
        </w:tc>
        <w:tc>
          <w:tcPr>
            <w:tcW w:w="1237" w:type="dxa"/>
            <w:noWrap/>
            <w:hideMark/>
          </w:tcPr>
          <w:p w14:paraId="186370D8" w14:textId="77777777" w:rsidR="00AB07D3" w:rsidRPr="00BF5DF5" w:rsidRDefault="00AB07D3" w:rsidP="00373E9F">
            <w:pPr>
              <w:cnfStyle w:val="000000000000" w:firstRow="0" w:lastRow="0" w:firstColumn="0" w:lastColumn="0" w:oddVBand="0" w:evenVBand="0" w:oddHBand="0" w:evenHBand="0" w:firstRowFirstColumn="0" w:firstRowLastColumn="0" w:lastRowFirstColumn="0" w:lastRowLastColumn="0"/>
              <w:rPr>
                <w:rFonts w:ascii="Abadi Extra Light" w:eastAsia="Times New Roman" w:hAnsi="Abadi Extra Light" w:cs="Calibri"/>
                <w:color w:val="000000"/>
                <w:sz w:val="20"/>
                <w:szCs w:val="20"/>
                <w:lang w:val="en-KE" w:eastAsia="en-KE"/>
              </w:rPr>
            </w:pPr>
          </w:p>
        </w:tc>
      </w:tr>
      <w:tr w:rsidR="00AB07D3" w:rsidRPr="0021178B" w14:paraId="3DDDBEED" w14:textId="77777777" w:rsidTr="003729E7">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4667" w:type="dxa"/>
            <w:noWrap/>
            <w:hideMark/>
          </w:tcPr>
          <w:p w14:paraId="4ED2C4CE" w14:textId="77777777" w:rsidR="00AB07D3" w:rsidRPr="00BF5DF5" w:rsidRDefault="00AB07D3" w:rsidP="00373E9F">
            <w:pPr>
              <w:rPr>
                <w:rFonts w:ascii="Abadi Extra Light" w:eastAsia="Times New Roman" w:hAnsi="Abadi Extra Light" w:cs="Calibri"/>
                <w:b w:val="0"/>
                <w:bCs w:val="0"/>
                <w:color w:val="000000"/>
                <w:sz w:val="20"/>
                <w:szCs w:val="20"/>
                <w:lang w:val="en-KE" w:eastAsia="en-KE"/>
              </w:rPr>
            </w:pPr>
            <w:r w:rsidRPr="00BF5DF5">
              <w:rPr>
                <w:rFonts w:ascii="Abadi Extra Light" w:eastAsia="Times New Roman" w:hAnsi="Abadi Extra Light" w:cs="Calibri"/>
                <w:b w:val="0"/>
                <w:bCs w:val="0"/>
                <w:color w:val="000000"/>
                <w:sz w:val="20"/>
                <w:szCs w:val="20"/>
                <w:lang w:val="en-KE" w:eastAsia="en-KE"/>
              </w:rPr>
              <w:t>Publicize &amp; Publish Cabinet approved BROP</w:t>
            </w:r>
          </w:p>
        </w:tc>
        <w:tc>
          <w:tcPr>
            <w:tcW w:w="2044" w:type="dxa"/>
            <w:noWrap/>
            <w:hideMark/>
          </w:tcPr>
          <w:p w14:paraId="06D4EB2E" w14:textId="77777777" w:rsidR="00AB07D3" w:rsidRPr="00BF5DF5" w:rsidRDefault="00AB07D3" w:rsidP="00373E9F">
            <w:pPr>
              <w:cnfStyle w:val="000000100000" w:firstRow="0" w:lastRow="0" w:firstColumn="0" w:lastColumn="0" w:oddVBand="0" w:evenVBand="0" w:oddHBand="1" w:evenHBand="0" w:firstRowFirstColumn="0" w:firstRowLastColumn="0" w:lastRowFirstColumn="0" w:lastRowLastColumn="0"/>
              <w:rPr>
                <w:rFonts w:ascii="Abadi Extra Light" w:eastAsia="Times New Roman" w:hAnsi="Abadi Extra Light" w:cs="Calibri"/>
                <w:color w:val="000000"/>
                <w:sz w:val="20"/>
                <w:szCs w:val="20"/>
                <w:lang w:val="en-KE" w:eastAsia="en-KE"/>
              </w:rPr>
            </w:pPr>
            <w:r w:rsidRPr="00BF5DF5">
              <w:rPr>
                <w:rFonts w:ascii="Abadi Extra Light" w:eastAsia="Times New Roman" w:hAnsi="Abadi Extra Light" w:cs="Calibri"/>
                <w:color w:val="000000"/>
                <w:sz w:val="20"/>
                <w:szCs w:val="20"/>
                <w:lang w:val="en-KE" w:eastAsia="en-KE"/>
              </w:rPr>
              <w:t>County Treasury</w:t>
            </w:r>
          </w:p>
        </w:tc>
        <w:tc>
          <w:tcPr>
            <w:tcW w:w="1339" w:type="dxa"/>
            <w:noWrap/>
            <w:hideMark/>
          </w:tcPr>
          <w:p w14:paraId="314EFD1B" w14:textId="77777777" w:rsidR="00AB07D3" w:rsidRPr="00BF5DF5" w:rsidRDefault="00AB07D3" w:rsidP="00373E9F">
            <w:pPr>
              <w:cnfStyle w:val="000000100000" w:firstRow="0" w:lastRow="0" w:firstColumn="0" w:lastColumn="0" w:oddVBand="0" w:evenVBand="0" w:oddHBand="1" w:evenHBand="0" w:firstRowFirstColumn="0" w:firstRowLastColumn="0" w:lastRowFirstColumn="0" w:lastRowLastColumn="0"/>
              <w:rPr>
                <w:rFonts w:ascii="Abadi Extra Light" w:eastAsia="Times New Roman" w:hAnsi="Abadi Extra Light" w:cs="Calibri"/>
                <w:color w:val="000000"/>
                <w:sz w:val="20"/>
                <w:szCs w:val="20"/>
                <w:lang w:val="en-KE" w:eastAsia="en-KE"/>
              </w:rPr>
            </w:pPr>
          </w:p>
        </w:tc>
        <w:tc>
          <w:tcPr>
            <w:tcW w:w="1237" w:type="dxa"/>
            <w:shd w:val="clear" w:color="auto" w:fill="C00000"/>
            <w:noWrap/>
            <w:hideMark/>
          </w:tcPr>
          <w:p w14:paraId="3E50D3E5" w14:textId="77777777" w:rsidR="00AB07D3" w:rsidRPr="00BF5DF5" w:rsidRDefault="00AB07D3" w:rsidP="00373E9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KE" w:eastAsia="en-KE"/>
              </w:rPr>
            </w:pPr>
            <w:r w:rsidRPr="00BF5DF5">
              <w:rPr>
                <w:rFonts w:ascii="Calibri" w:eastAsia="Times New Roman" w:hAnsi="Calibri" w:cs="Calibri"/>
                <w:color w:val="000000"/>
                <w:sz w:val="20"/>
                <w:szCs w:val="20"/>
                <w:lang w:val="en-KE" w:eastAsia="en-KE"/>
              </w:rPr>
              <w:t> </w:t>
            </w:r>
          </w:p>
        </w:tc>
      </w:tr>
      <w:tr w:rsidR="00AB07D3" w:rsidRPr="00BF5DF5" w14:paraId="1215750E" w14:textId="77777777" w:rsidTr="00AB07D3">
        <w:trPr>
          <w:trHeight w:val="296"/>
        </w:trPr>
        <w:tc>
          <w:tcPr>
            <w:cnfStyle w:val="001000000000" w:firstRow="0" w:lastRow="0" w:firstColumn="1" w:lastColumn="0" w:oddVBand="0" w:evenVBand="0" w:oddHBand="0" w:evenHBand="0" w:firstRowFirstColumn="0" w:firstRowLastColumn="0" w:lastRowFirstColumn="0" w:lastRowLastColumn="0"/>
            <w:tcW w:w="4667" w:type="dxa"/>
            <w:noWrap/>
            <w:hideMark/>
          </w:tcPr>
          <w:p w14:paraId="7EF24F8D" w14:textId="77777777" w:rsidR="00AB07D3" w:rsidRPr="00BF5DF5" w:rsidRDefault="00AB07D3" w:rsidP="00373E9F">
            <w:pPr>
              <w:rPr>
                <w:rFonts w:ascii="Abadi Extra Light" w:eastAsia="Times New Roman" w:hAnsi="Abadi Extra Light" w:cs="Calibri"/>
                <w:b w:val="0"/>
                <w:bCs w:val="0"/>
                <w:color w:val="000000"/>
                <w:sz w:val="20"/>
                <w:szCs w:val="20"/>
                <w:lang w:val="en-KE" w:eastAsia="en-KE"/>
              </w:rPr>
            </w:pPr>
            <w:r w:rsidRPr="00BF5DF5">
              <w:rPr>
                <w:rFonts w:ascii="Abadi Extra Light" w:eastAsia="Times New Roman" w:hAnsi="Abadi Extra Light" w:cs="Calibri"/>
                <w:b w:val="0"/>
                <w:bCs w:val="0"/>
                <w:color w:val="000000"/>
                <w:sz w:val="20"/>
                <w:szCs w:val="20"/>
                <w:lang w:val="en-KE" w:eastAsia="en-KE"/>
              </w:rPr>
              <w:t>Approval by County Exec Cttee</w:t>
            </w:r>
          </w:p>
        </w:tc>
        <w:tc>
          <w:tcPr>
            <w:tcW w:w="2044" w:type="dxa"/>
            <w:noWrap/>
            <w:hideMark/>
          </w:tcPr>
          <w:p w14:paraId="30E2E30A" w14:textId="77777777" w:rsidR="00AB07D3" w:rsidRPr="00BF5DF5" w:rsidRDefault="00AB07D3" w:rsidP="00373E9F">
            <w:pPr>
              <w:cnfStyle w:val="000000000000" w:firstRow="0" w:lastRow="0" w:firstColumn="0" w:lastColumn="0" w:oddVBand="0" w:evenVBand="0" w:oddHBand="0" w:evenHBand="0" w:firstRowFirstColumn="0" w:firstRowLastColumn="0" w:lastRowFirstColumn="0" w:lastRowLastColumn="0"/>
              <w:rPr>
                <w:rFonts w:ascii="Abadi Extra Light" w:eastAsia="Times New Roman" w:hAnsi="Abadi Extra Light" w:cs="Calibri"/>
                <w:color w:val="000000"/>
                <w:sz w:val="20"/>
                <w:szCs w:val="20"/>
                <w:lang w:val="en-KE" w:eastAsia="en-KE"/>
              </w:rPr>
            </w:pPr>
            <w:r w:rsidRPr="00BF5DF5">
              <w:rPr>
                <w:rFonts w:ascii="Abadi Extra Light" w:eastAsia="Times New Roman" w:hAnsi="Abadi Extra Light" w:cs="Calibri"/>
                <w:color w:val="000000"/>
                <w:sz w:val="20"/>
                <w:szCs w:val="20"/>
                <w:lang w:val="en-KE" w:eastAsia="en-KE"/>
              </w:rPr>
              <w:t>CEC/ County Assembly</w:t>
            </w:r>
          </w:p>
        </w:tc>
        <w:tc>
          <w:tcPr>
            <w:tcW w:w="1339" w:type="dxa"/>
            <w:noWrap/>
            <w:hideMark/>
          </w:tcPr>
          <w:p w14:paraId="0B2CB234" w14:textId="77777777" w:rsidR="00AB07D3" w:rsidRPr="00BF5DF5" w:rsidRDefault="00AB07D3" w:rsidP="00373E9F">
            <w:pPr>
              <w:cnfStyle w:val="000000000000" w:firstRow="0" w:lastRow="0" w:firstColumn="0" w:lastColumn="0" w:oddVBand="0" w:evenVBand="0" w:oddHBand="0" w:evenHBand="0" w:firstRowFirstColumn="0" w:firstRowLastColumn="0" w:lastRowFirstColumn="0" w:lastRowLastColumn="0"/>
              <w:rPr>
                <w:rFonts w:ascii="Abadi Extra Light" w:eastAsia="Times New Roman" w:hAnsi="Abadi Extra Light" w:cs="Calibri"/>
                <w:color w:val="000000"/>
                <w:sz w:val="20"/>
                <w:szCs w:val="20"/>
                <w:lang w:val="en-KE" w:eastAsia="en-KE"/>
              </w:rPr>
            </w:pPr>
            <w:r w:rsidRPr="00BF5DF5">
              <w:rPr>
                <w:rFonts w:ascii="Abadi Extra Light" w:eastAsia="Times New Roman" w:hAnsi="Abadi Extra Light" w:cs="Calibri"/>
                <w:color w:val="000000"/>
                <w:sz w:val="20"/>
                <w:szCs w:val="20"/>
                <w:lang w:val="en-KE" w:eastAsia="en-KE"/>
              </w:rPr>
              <w:t>14th Oct</w:t>
            </w:r>
          </w:p>
        </w:tc>
        <w:tc>
          <w:tcPr>
            <w:tcW w:w="1237" w:type="dxa"/>
            <w:noWrap/>
            <w:hideMark/>
          </w:tcPr>
          <w:p w14:paraId="4CBD37E0" w14:textId="77777777" w:rsidR="00AB07D3" w:rsidRPr="00BF5DF5" w:rsidRDefault="00AB07D3" w:rsidP="00373E9F">
            <w:pPr>
              <w:cnfStyle w:val="000000000000" w:firstRow="0" w:lastRow="0" w:firstColumn="0" w:lastColumn="0" w:oddVBand="0" w:evenVBand="0" w:oddHBand="0" w:evenHBand="0" w:firstRowFirstColumn="0" w:firstRowLastColumn="0" w:lastRowFirstColumn="0" w:lastRowLastColumn="0"/>
              <w:rPr>
                <w:rFonts w:ascii="Abadi Extra Light" w:eastAsia="Times New Roman" w:hAnsi="Abadi Extra Light" w:cs="Calibri"/>
                <w:color w:val="000000"/>
                <w:sz w:val="20"/>
                <w:szCs w:val="20"/>
                <w:lang w:val="en-KE" w:eastAsia="en-KE"/>
              </w:rPr>
            </w:pPr>
          </w:p>
        </w:tc>
      </w:tr>
      <w:tr w:rsidR="00AB07D3" w:rsidRPr="0021178B" w14:paraId="41BB7924" w14:textId="77777777" w:rsidTr="00AB07D3">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4667" w:type="dxa"/>
            <w:noWrap/>
            <w:hideMark/>
          </w:tcPr>
          <w:p w14:paraId="5C38440B" w14:textId="77777777" w:rsidR="00AB07D3" w:rsidRPr="00BF5DF5" w:rsidRDefault="00AB07D3" w:rsidP="00373E9F">
            <w:pPr>
              <w:rPr>
                <w:rFonts w:ascii="Abadi Extra Light" w:eastAsia="Times New Roman" w:hAnsi="Abadi Extra Light" w:cs="Calibri"/>
                <w:b w:val="0"/>
                <w:bCs w:val="0"/>
                <w:color w:val="000000"/>
                <w:sz w:val="20"/>
                <w:szCs w:val="20"/>
                <w:lang w:val="en-KE" w:eastAsia="en-KE"/>
              </w:rPr>
            </w:pPr>
            <w:r w:rsidRPr="00BF5DF5">
              <w:rPr>
                <w:rFonts w:ascii="Abadi Extra Light" w:eastAsia="Times New Roman" w:hAnsi="Abadi Extra Light" w:cs="Calibri"/>
                <w:b w:val="0"/>
                <w:bCs w:val="0"/>
                <w:color w:val="000000"/>
                <w:sz w:val="20"/>
                <w:szCs w:val="20"/>
                <w:lang w:val="en-KE" w:eastAsia="en-KE"/>
              </w:rPr>
              <w:t>Submit to Cou</w:t>
            </w:r>
            <w:r w:rsidRPr="0021178B">
              <w:rPr>
                <w:rFonts w:ascii="Abadi Extra Light" w:eastAsia="Times New Roman" w:hAnsi="Abadi Extra Light" w:cs="Calibri"/>
                <w:b w:val="0"/>
                <w:bCs w:val="0"/>
                <w:color w:val="000000"/>
                <w:sz w:val="20"/>
                <w:szCs w:val="20"/>
                <w:lang w:eastAsia="en-KE"/>
              </w:rPr>
              <w:t>n</w:t>
            </w:r>
            <w:r w:rsidRPr="00BF5DF5">
              <w:rPr>
                <w:rFonts w:ascii="Abadi Extra Light" w:eastAsia="Times New Roman" w:hAnsi="Abadi Extra Light" w:cs="Calibri"/>
                <w:b w:val="0"/>
                <w:bCs w:val="0"/>
                <w:color w:val="000000"/>
                <w:sz w:val="20"/>
                <w:szCs w:val="20"/>
                <w:lang w:val="en-KE" w:eastAsia="en-KE"/>
              </w:rPr>
              <w:t xml:space="preserve">ty Assembly Budget Cttee </w:t>
            </w:r>
          </w:p>
        </w:tc>
        <w:tc>
          <w:tcPr>
            <w:tcW w:w="2044" w:type="dxa"/>
            <w:noWrap/>
            <w:hideMark/>
          </w:tcPr>
          <w:p w14:paraId="75974F68" w14:textId="77777777" w:rsidR="00AB07D3" w:rsidRPr="00BF5DF5" w:rsidRDefault="00AB07D3" w:rsidP="00373E9F">
            <w:pPr>
              <w:cnfStyle w:val="000000100000" w:firstRow="0" w:lastRow="0" w:firstColumn="0" w:lastColumn="0" w:oddVBand="0" w:evenVBand="0" w:oddHBand="1" w:evenHBand="0" w:firstRowFirstColumn="0" w:firstRowLastColumn="0" w:lastRowFirstColumn="0" w:lastRowLastColumn="0"/>
              <w:rPr>
                <w:rFonts w:ascii="Abadi Extra Light" w:eastAsia="Times New Roman" w:hAnsi="Abadi Extra Light" w:cs="Calibri"/>
                <w:color w:val="000000"/>
                <w:sz w:val="20"/>
                <w:szCs w:val="20"/>
                <w:lang w:val="en-KE" w:eastAsia="en-KE"/>
              </w:rPr>
            </w:pPr>
            <w:r w:rsidRPr="00BF5DF5">
              <w:rPr>
                <w:rFonts w:ascii="Abadi Extra Light" w:eastAsia="Times New Roman" w:hAnsi="Abadi Extra Light" w:cs="Calibri"/>
                <w:color w:val="000000"/>
                <w:sz w:val="20"/>
                <w:szCs w:val="20"/>
                <w:lang w:val="en-KE" w:eastAsia="en-KE"/>
              </w:rPr>
              <w:t>County Treasury</w:t>
            </w:r>
          </w:p>
        </w:tc>
        <w:tc>
          <w:tcPr>
            <w:tcW w:w="1339" w:type="dxa"/>
            <w:noWrap/>
            <w:hideMark/>
          </w:tcPr>
          <w:p w14:paraId="48CE3AD2" w14:textId="77777777" w:rsidR="00AB07D3" w:rsidRPr="00BF5DF5" w:rsidRDefault="00AB07D3" w:rsidP="00373E9F">
            <w:pPr>
              <w:cnfStyle w:val="000000100000" w:firstRow="0" w:lastRow="0" w:firstColumn="0" w:lastColumn="0" w:oddVBand="0" w:evenVBand="0" w:oddHBand="1" w:evenHBand="0" w:firstRowFirstColumn="0" w:firstRowLastColumn="0" w:lastRowFirstColumn="0" w:lastRowLastColumn="0"/>
              <w:rPr>
                <w:rFonts w:ascii="Abadi Extra Light" w:eastAsia="Times New Roman" w:hAnsi="Abadi Extra Light" w:cs="Calibri"/>
                <w:color w:val="000000"/>
                <w:sz w:val="20"/>
                <w:szCs w:val="20"/>
                <w:lang w:val="en-KE" w:eastAsia="en-KE"/>
              </w:rPr>
            </w:pPr>
            <w:r w:rsidRPr="00BF5DF5">
              <w:rPr>
                <w:rFonts w:ascii="Abadi Extra Light" w:eastAsia="Times New Roman" w:hAnsi="Abadi Extra Light" w:cs="Calibri"/>
                <w:color w:val="000000"/>
                <w:sz w:val="20"/>
                <w:szCs w:val="20"/>
                <w:lang w:val="en-KE" w:eastAsia="en-KE"/>
              </w:rPr>
              <w:t>21st Oct</w:t>
            </w:r>
          </w:p>
        </w:tc>
        <w:tc>
          <w:tcPr>
            <w:tcW w:w="1237" w:type="dxa"/>
            <w:noWrap/>
            <w:hideMark/>
          </w:tcPr>
          <w:p w14:paraId="2AB375D0" w14:textId="77777777" w:rsidR="00AB07D3" w:rsidRPr="00BF5DF5" w:rsidRDefault="00AB07D3" w:rsidP="00373E9F">
            <w:pPr>
              <w:cnfStyle w:val="000000100000" w:firstRow="0" w:lastRow="0" w:firstColumn="0" w:lastColumn="0" w:oddVBand="0" w:evenVBand="0" w:oddHBand="1" w:evenHBand="0" w:firstRowFirstColumn="0" w:firstRowLastColumn="0" w:lastRowFirstColumn="0" w:lastRowLastColumn="0"/>
              <w:rPr>
                <w:rFonts w:ascii="Abadi Extra Light" w:eastAsia="Times New Roman" w:hAnsi="Abadi Extra Light" w:cs="Calibri"/>
                <w:color w:val="000000"/>
                <w:sz w:val="20"/>
                <w:szCs w:val="20"/>
                <w:lang w:val="en-KE" w:eastAsia="en-KE"/>
              </w:rPr>
            </w:pPr>
          </w:p>
        </w:tc>
      </w:tr>
      <w:tr w:rsidR="00AB07D3" w:rsidRPr="00BF5DF5" w14:paraId="60FBA3DD" w14:textId="77777777" w:rsidTr="00AB07D3">
        <w:trPr>
          <w:trHeight w:val="296"/>
        </w:trPr>
        <w:tc>
          <w:tcPr>
            <w:cnfStyle w:val="001000000000" w:firstRow="0" w:lastRow="0" w:firstColumn="1" w:lastColumn="0" w:oddVBand="0" w:evenVBand="0" w:oddHBand="0" w:evenHBand="0" w:firstRowFirstColumn="0" w:firstRowLastColumn="0" w:lastRowFirstColumn="0" w:lastRowLastColumn="0"/>
            <w:tcW w:w="4667" w:type="dxa"/>
            <w:noWrap/>
            <w:hideMark/>
          </w:tcPr>
          <w:p w14:paraId="502325FB" w14:textId="77777777" w:rsidR="00AB07D3" w:rsidRPr="00BF5DF5" w:rsidRDefault="00AB07D3" w:rsidP="00373E9F">
            <w:pPr>
              <w:rPr>
                <w:rFonts w:ascii="Abadi Extra Light" w:eastAsia="Times New Roman" w:hAnsi="Abadi Extra Light" w:cs="Calibri"/>
                <w:b w:val="0"/>
                <w:bCs w:val="0"/>
                <w:color w:val="000000"/>
                <w:sz w:val="20"/>
                <w:szCs w:val="20"/>
                <w:lang w:val="en-KE" w:eastAsia="en-KE"/>
              </w:rPr>
            </w:pPr>
            <w:r w:rsidRPr="00BF5DF5">
              <w:rPr>
                <w:rFonts w:ascii="Abadi Extra Light" w:eastAsia="Times New Roman" w:hAnsi="Abadi Extra Light" w:cs="Calibri"/>
                <w:b w:val="0"/>
                <w:bCs w:val="0"/>
                <w:color w:val="000000"/>
                <w:sz w:val="20"/>
                <w:szCs w:val="20"/>
                <w:lang w:val="en-KE" w:eastAsia="en-KE"/>
              </w:rPr>
              <w:t>Approval by County Assembly</w:t>
            </w:r>
          </w:p>
        </w:tc>
        <w:tc>
          <w:tcPr>
            <w:tcW w:w="2044" w:type="dxa"/>
            <w:noWrap/>
            <w:hideMark/>
          </w:tcPr>
          <w:p w14:paraId="6F74E818" w14:textId="77777777" w:rsidR="00AB07D3" w:rsidRPr="00BF5DF5" w:rsidRDefault="00AB07D3" w:rsidP="00373E9F">
            <w:pPr>
              <w:cnfStyle w:val="000000000000" w:firstRow="0" w:lastRow="0" w:firstColumn="0" w:lastColumn="0" w:oddVBand="0" w:evenVBand="0" w:oddHBand="0" w:evenHBand="0" w:firstRowFirstColumn="0" w:firstRowLastColumn="0" w:lastRowFirstColumn="0" w:lastRowLastColumn="0"/>
              <w:rPr>
                <w:rFonts w:ascii="Abadi Extra Light" w:eastAsia="Times New Roman" w:hAnsi="Abadi Extra Light" w:cs="Calibri"/>
                <w:color w:val="000000"/>
                <w:sz w:val="20"/>
                <w:szCs w:val="20"/>
                <w:lang w:val="en-KE" w:eastAsia="en-KE"/>
              </w:rPr>
            </w:pPr>
            <w:r w:rsidRPr="00BF5DF5">
              <w:rPr>
                <w:rFonts w:ascii="Abadi Extra Light" w:eastAsia="Times New Roman" w:hAnsi="Abadi Extra Light" w:cs="Calibri"/>
                <w:color w:val="000000"/>
                <w:sz w:val="20"/>
                <w:szCs w:val="20"/>
                <w:lang w:val="en-KE" w:eastAsia="en-KE"/>
              </w:rPr>
              <w:t>County Assembly</w:t>
            </w:r>
          </w:p>
        </w:tc>
        <w:tc>
          <w:tcPr>
            <w:tcW w:w="1339" w:type="dxa"/>
            <w:noWrap/>
            <w:hideMark/>
          </w:tcPr>
          <w:p w14:paraId="72F8DFB8" w14:textId="77777777" w:rsidR="00AB07D3" w:rsidRPr="00BF5DF5" w:rsidRDefault="00AB07D3" w:rsidP="00373E9F">
            <w:pPr>
              <w:cnfStyle w:val="000000000000" w:firstRow="0" w:lastRow="0" w:firstColumn="0" w:lastColumn="0" w:oddVBand="0" w:evenVBand="0" w:oddHBand="0" w:evenHBand="0" w:firstRowFirstColumn="0" w:firstRowLastColumn="0" w:lastRowFirstColumn="0" w:lastRowLastColumn="0"/>
              <w:rPr>
                <w:rFonts w:ascii="Abadi Extra Light" w:eastAsia="Times New Roman" w:hAnsi="Abadi Extra Light" w:cs="Calibri"/>
                <w:color w:val="000000"/>
                <w:sz w:val="20"/>
                <w:szCs w:val="20"/>
                <w:lang w:val="en-KE" w:eastAsia="en-KE"/>
              </w:rPr>
            </w:pPr>
          </w:p>
        </w:tc>
        <w:tc>
          <w:tcPr>
            <w:tcW w:w="1237" w:type="dxa"/>
            <w:noWrap/>
            <w:hideMark/>
          </w:tcPr>
          <w:p w14:paraId="50AB918D" w14:textId="77777777" w:rsidR="00AB07D3" w:rsidRPr="00BF5DF5" w:rsidRDefault="00AB07D3" w:rsidP="00373E9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KE" w:eastAsia="en-KE"/>
              </w:rPr>
            </w:pPr>
          </w:p>
        </w:tc>
      </w:tr>
      <w:tr w:rsidR="00AB07D3" w:rsidRPr="0021178B" w14:paraId="6A43A90E" w14:textId="77777777" w:rsidTr="003729E7">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4667" w:type="dxa"/>
            <w:noWrap/>
            <w:hideMark/>
          </w:tcPr>
          <w:p w14:paraId="30CA46BA" w14:textId="77777777" w:rsidR="00AB07D3" w:rsidRPr="00BF5DF5" w:rsidRDefault="00AB07D3" w:rsidP="00373E9F">
            <w:pPr>
              <w:rPr>
                <w:rFonts w:ascii="Abadi Extra Light" w:eastAsia="Times New Roman" w:hAnsi="Abadi Extra Light" w:cs="Calibri"/>
                <w:b w:val="0"/>
                <w:bCs w:val="0"/>
                <w:color w:val="000000"/>
                <w:sz w:val="20"/>
                <w:szCs w:val="20"/>
                <w:lang w:val="en-KE" w:eastAsia="en-KE"/>
              </w:rPr>
            </w:pPr>
            <w:r w:rsidRPr="00BF5DF5">
              <w:rPr>
                <w:rFonts w:ascii="Abadi Extra Light" w:eastAsia="Times New Roman" w:hAnsi="Abadi Extra Light" w:cs="Calibri"/>
                <w:b w:val="0"/>
                <w:bCs w:val="0"/>
                <w:color w:val="000000"/>
                <w:sz w:val="20"/>
                <w:szCs w:val="20"/>
                <w:lang w:val="en-KE" w:eastAsia="en-KE"/>
              </w:rPr>
              <w:t>Publicize &amp; Publish CA approved BROP</w:t>
            </w:r>
          </w:p>
        </w:tc>
        <w:tc>
          <w:tcPr>
            <w:tcW w:w="2044" w:type="dxa"/>
            <w:noWrap/>
            <w:hideMark/>
          </w:tcPr>
          <w:p w14:paraId="5B08278F" w14:textId="77777777" w:rsidR="00AB07D3" w:rsidRPr="00BF5DF5" w:rsidRDefault="00AB07D3" w:rsidP="00373E9F">
            <w:pPr>
              <w:cnfStyle w:val="000000100000" w:firstRow="0" w:lastRow="0" w:firstColumn="0" w:lastColumn="0" w:oddVBand="0" w:evenVBand="0" w:oddHBand="1" w:evenHBand="0" w:firstRowFirstColumn="0" w:firstRowLastColumn="0" w:lastRowFirstColumn="0" w:lastRowLastColumn="0"/>
              <w:rPr>
                <w:rFonts w:ascii="Abadi Extra Light" w:eastAsia="Times New Roman" w:hAnsi="Abadi Extra Light" w:cs="Calibri"/>
                <w:color w:val="000000"/>
                <w:sz w:val="20"/>
                <w:szCs w:val="20"/>
                <w:lang w:val="en-KE" w:eastAsia="en-KE"/>
              </w:rPr>
            </w:pPr>
            <w:r w:rsidRPr="00BF5DF5">
              <w:rPr>
                <w:rFonts w:ascii="Abadi Extra Light" w:eastAsia="Times New Roman" w:hAnsi="Abadi Extra Light" w:cs="Calibri"/>
                <w:color w:val="000000"/>
                <w:sz w:val="20"/>
                <w:szCs w:val="20"/>
                <w:lang w:val="en-KE" w:eastAsia="en-KE"/>
              </w:rPr>
              <w:t>County Treasury</w:t>
            </w:r>
          </w:p>
        </w:tc>
        <w:tc>
          <w:tcPr>
            <w:tcW w:w="1339" w:type="dxa"/>
            <w:noWrap/>
            <w:hideMark/>
          </w:tcPr>
          <w:p w14:paraId="62E2788E" w14:textId="77777777" w:rsidR="00AB07D3" w:rsidRPr="00BF5DF5" w:rsidRDefault="00AB07D3" w:rsidP="00373E9F">
            <w:pPr>
              <w:cnfStyle w:val="000000100000" w:firstRow="0" w:lastRow="0" w:firstColumn="0" w:lastColumn="0" w:oddVBand="0" w:evenVBand="0" w:oddHBand="1" w:evenHBand="0" w:firstRowFirstColumn="0" w:firstRowLastColumn="0" w:lastRowFirstColumn="0" w:lastRowLastColumn="0"/>
              <w:rPr>
                <w:rFonts w:ascii="Abadi Extra Light" w:eastAsia="Times New Roman" w:hAnsi="Abadi Extra Light" w:cs="Calibri"/>
                <w:color w:val="000000"/>
                <w:sz w:val="20"/>
                <w:szCs w:val="20"/>
                <w:lang w:val="en-KE" w:eastAsia="en-KE"/>
              </w:rPr>
            </w:pPr>
          </w:p>
        </w:tc>
        <w:tc>
          <w:tcPr>
            <w:tcW w:w="1237" w:type="dxa"/>
            <w:shd w:val="clear" w:color="auto" w:fill="C00000"/>
            <w:noWrap/>
            <w:hideMark/>
          </w:tcPr>
          <w:p w14:paraId="2537D719" w14:textId="77777777" w:rsidR="00AB07D3" w:rsidRPr="00BF5DF5" w:rsidRDefault="00AB07D3" w:rsidP="00373E9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KE" w:eastAsia="en-KE"/>
              </w:rPr>
            </w:pPr>
            <w:r w:rsidRPr="00BF5DF5">
              <w:rPr>
                <w:rFonts w:ascii="Calibri" w:eastAsia="Times New Roman" w:hAnsi="Calibri" w:cs="Calibri"/>
                <w:color w:val="000000"/>
                <w:sz w:val="20"/>
                <w:szCs w:val="20"/>
                <w:lang w:val="en-KE" w:eastAsia="en-KE"/>
              </w:rPr>
              <w:t> </w:t>
            </w:r>
          </w:p>
        </w:tc>
      </w:tr>
      <w:tr w:rsidR="00AB07D3" w:rsidRPr="00BF5DF5" w14:paraId="2AA6F10F" w14:textId="77777777" w:rsidTr="00AB07D3">
        <w:trPr>
          <w:trHeight w:val="306"/>
        </w:trPr>
        <w:tc>
          <w:tcPr>
            <w:cnfStyle w:val="001000000000" w:firstRow="0" w:lastRow="0" w:firstColumn="1" w:lastColumn="0" w:oddVBand="0" w:evenVBand="0" w:oddHBand="0" w:evenHBand="0" w:firstRowFirstColumn="0" w:firstRowLastColumn="0" w:lastRowFirstColumn="0" w:lastRowLastColumn="0"/>
            <w:tcW w:w="4667" w:type="dxa"/>
            <w:noWrap/>
            <w:hideMark/>
          </w:tcPr>
          <w:p w14:paraId="40B96929" w14:textId="77777777" w:rsidR="00AB07D3" w:rsidRPr="00BF5DF5" w:rsidRDefault="00AB07D3" w:rsidP="00373E9F">
            <w:pPr>
              <w:rPr>
                <w:rFonts w:ascii="Franklin Gothic Demi" w:eastAsia="Times New Roman" w:hAnsi="Franklin Gothic Demi" w:cs="Calibri"/>
                <w:b w:val="0"/>
                <w:bCs w:val="0"/>
                <w:color w:val="000000"/>
                <w:sz w:val="20"/>
                <w:szCs w:val="20"/>
                <w:lang w:val="en-KE" w:eastAsia="en-KE"/>
              </w:rPr>
            </w:pPr>
            <w:r w:rsidRPr="00BF5DF5">
              <w:rPr>
                <w:rFonts w:ascii="Franklin Gothic Demi" w:eastAsia="Times New Roman" w:hAnsi="Franklin Gothic Demi" w:cs="Calibri"/>
                <w:b w:val="0"/>
                <w:bCs w:val="0"/>
                <w:color w:val="000000"/>
                <w:sz w:val="20"/>
                <w:szCs w:val="20"/>
                <w:lang w:val="en-KE" w:eastAsia="en-KE"/>
              </w:rPr>
              <w:t>Supplementary Budgets</w:t>
            </w:r>
          </w:p>
        </w:tc>
        <w:tc>
          <w:tcPr>
            <w:tcW w:w="2044" w:type="dxa"/>
            <w:noWrap/>
            <w:hideMark/>
          </w:tcPr>
          <w:p w14:paraId="24041307" w14:textId="77777777" w:rsidR="00AB07D3" w:rsidRPr="00BF5DF5" w:rsidRDefault="00AB07D3" w:rsidP="00373E9F">
            <w:pPr>
              <w:cnfStyle w:val="000000000000" w:firstRow="0" w:lastRow="0" w:firstColumn="0" w:lastColumn="0" w:oddVBand="0" w:evenVBand="0" w:oddHBand="0" w:evenHBand="0" w:firstRowFirstColumn="0" w:firstRowLastColumn="0" w:lastRowFirstColumn="0" w:lastRowLastColumn="0"/>
              <w:rPr>
                <w:rFonts w:ascii="Franklin Gothic Demi" w:eastAsia="Times New Roman" w:hAnsi="Franklin Gothic Demi" w:cs="Calibri"/>
                <w:color w:val="000000"/>
                <w:sz w:val="20"/>
                <w:szCs w:val="20"/>
                <w:lang w:val="en-KE" w:eastAsia="en-KE"/>
              </w:rPr>
            </w:pPr>
          </w:p>
        </w:tc>
        <w:tc>
          <w:tcPr>
            <w:tcW w:w="1339" w:type="dxa"/>
            <w:noWrap/>
            <w:hideMark/>
          </w:tcPr>
          <w:p w14:paraId="4B5AB1CF" w14:textId="77777777" w:rsidR="00AB07D3" w:rsidRPr="00BF5DF5" w:rsidRDefault="00AB07D3" w:rsidP="00373E9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KE" w:eastAsia="en-KE"/>
              </w:rPr>
            </w:pPr>
          </w:p>
        </w:tc>
        <w:tc>
          <w:tcPr>
            <w:tcW w:w="1237" w:type="dxa"/>
            <w:noWrap/>
            <w:hideMark/>
          </w:tcPr>
          <w:p w14:paraId="716429DD" w14:textId="77777777" w:rsidR="00AB07D3" w:rsidRPr="00BF5DF5" w:rsidRDefault="00AB07D3" w:rsidP="00373E9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KE" w:eastAsia="en-KE"/>
              </w:rPr>
            </w:pPr>
          </w:p>
        </w:tc>
      </w:tr>
      <w:tr w:rsidR="00AB07D3" w:rsidRPr="0021178B" w14:paraId="10DC881D" w14:textId="77777777" w:rsidTr="003729E7">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4667" w:type="dxa"/>
            <w:noWrap/>
            <w:hideMark/>
          </w:tcPr>
          <w:p w14:paraId="617A83F8" w14:textId="77777777" w:rsidR="00AB07D3" w:rsidRPr="00BF5DF5" w:rsidRDefault="00AB07D3" w:rsidP="00373E9F">
            <w:pPr>
              <w:rPr>
                <w:rFonts w:ascii="Abadi Extra Light" w:eastAsia="Times New Roman" w:hAnsi="Abadi Extra Light" w:cs="Calibri"/>
                <w:b w:val="0"/>
                <w:bCs w:val="0"/>
                <w:color w:val="000000"/>
                <w:sz w:val="20"/>
                <w:szCs w:val="20"/>
                <w:lang w:val="en-KE" w:eastAsia="en-KE"/>
              </w:rPr>
            </w:pPr>
            <w:r w:rsidRPr="00BF5DF5">
              <w:rPr>
                <w:rFonts w:ascii="Abadi Extra Light" w:eastAsia="Times New Roman" w:hAnsi="Abadi Extra Light" w:cs="Calibri"/>
                <w:b w:val="0"/>
                <w:bCs w:val="0"/>
                <w:color w:val="000000"/>
                <w:sz w:val="20"/>
                <w:szCs w:val="20"/>
                <w:lang w:val="en-KE" w:eastAsia="en-KE"/>
              </w:rPr>
              <w:t>Preparation and Submission to CA</w:t>
            </w:r>
          </w:p>
        </w:tc>
        <w:tc>
          <w:tcPr>
            <w:tcW w:w="2044" w:type="dxa"/>
            <w:noWrap/>
            <w:hideMark/>
          </w:tcPr>
          <w:p w14:paraId="3425B1C9" w14:textId="77777777" w:rsidR="00AB07D3" w:rsidRPr="00BF5DF5" w:rsidRDefault="00AB07D3" w:rsidP="00373E9F">
            <w:pPr>
              <w:cnfStyle w:val="000000100000" w:firstRow="0" w:lastRow="0" w:firstColumn="0" w:lastColumn="0" w:oddVBand="0" w:evenVBand="0" w:oddHBand="1" w:evenHBand="0" w:firstRowFirstColumn="0" w:firstRowLastColumn="0" w:lastRowFirstColumn="0" w:lastRowLastColumn="0"/>
              <w:rPr>
                <w:rFonts w:ascii="Abadi Extra Light" w:eastAsia="Times New Roman" w:hAnsi="Abadi Extra Light" w:cs="Calibri"/>
                <w:color w:val="000000"/>
                <w:sz w:val="20"/>
                <w:szCs w:val="20"/>
                <w:lang w:val="en-KE" w:eastAsia="en-KE"/>
              </w:rPr>
            </w:pPr>
            <w:r w:rsidRPr="00BF5DF5">
              <w:rPr>
                <w:rFonts w:ascii="Abadi Extra Light" w:eastAsia="Times New Roman" w:hAnsi="Abadi Extra Light" w:cs="Calibri"/>
                <w:color w:val="000000"/>
                <w:sz w:val="20"/>
                <w:szCs w:val="20"/>
                <w:lang w:val="en-KE" w:eastAsia="en-KE"/>
              </w:rPr>
              <w:t>County Treasury</w:t>
            </w:r>
          </w:p>
        </w:tc>
        <w:tc>
          <w:tcPr>
            <w:tcW w:w="1339" w:type="dxa"/>
            <w:hideMark/>
          </w:tcPr>
          <w:p w14:paraId="25224D0E" w14:textId="77777777" w:rsidR="00AB07D3" w:rsidRPr="00BF5DF5" w:rsidRDefault="00AB07D3" w:rsidP="00373E9F">
            <w:pPr>
              <w:cnfStyle w:val="000000100000" w:firstRow="0" w:lastRow="0" w:firstColumn="0" w:lastColumn="0" w:oddVBand="0" w:evenVBand="0" w:oddHBand="1" w:evenHBand="0" w:firstRowFirstColumn="0" w:firstRowLastColumn="0" w:lastRowFirstColumn="0" w:lastRowLastColumn="0"/>
              <w:rPr>
                <w:rFonts w:ascii="Abadi Extra Light" w:eastAsia="Times New Roman" w:hAnsi="Abadi Extra Light" w:cs="Calibri"/>
                <w:color w:val="000000"/>
                <w:sz w:val="20"/>
                <w:szCs w:val="20"/>
                <w:lang w:val="en-KE" w:eastAsia="en-KE"/>
              </w:rPr>
            </w:pPr>
            <w:r w:rsidRPr="00BF5DF5">
              <w:rPr>
                <w:rFonts w:ascii="Abadi Extra Light" w:eastAsia="Times New Roman" w:hAnsi="Abadi Extra Light" w:cs="Calibri"/>
                <w:color w:val="000000"/>
                <w:sz w:val="20"/>
                <w:szCs w:val="20"/>
                <w:lang w:val="en-KE" w:eastAsia="en-KE"/>
              </w:rPr>
              <w:t>Within 2 months of 1st withdrawal</w:t>
            </w:r>
          </w:p>
        </w:tc>
        <w:tc>
          <w:tcPr>
            <w:tcW w:w="1237" w:type="dxa"/>
            <w:shd w:val="clear" w:color="auto" w:fill="C00000"/>
            <w:noWrap/>
            <w:hideMark/>
          </w:tcPr>
          <w:p w14:paraId="2FF2CE2E" w14:textId="77777777" w:rsidR="00AB07D3" w:rsidRPr="00BF5DF5" w:rsidRDefault="00AB07D3" w:rsidP="00373E9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KE" w:eastAsia="en-KE"/>
              </w:rPr>
            </w:pPr>
            <w:r w:rsidRPr="00BF5DF5">
              <w:rPr>
                <w:rFonts w:ascii="Calibri" w:eastAsia="Times New Roman" w:hAnsi="Calibri" w:cs="Calibri"/>
                <w:color w:val="000000"/>
                <w:sz w:val="20"/>
                <w:szCs w:val="20"/>
                <w:lang w:val="en-KE" w:eastAsia="en-KE"/>
              </w:rPr>
              <w:t> </w:t>
            </w:r>
          </w:p>
        </w:tc>
      </w:tr>
      <w:tr w:rsidR="00AB07D3" w:rsidRPr="00BF5DF5" w14:paraId="37761A6D" w14:textId="77777777" w:rsidTr="00AB07D3">
        <w:trPr>
          <w:trHeight w:val="296"/>
        </w:trPr>
        <w:tc>
          <w:tcPr>
            <w:cnfStyle w:val="001000000000" w:firstRow="0" w:lastRow="0" w:firstColumn="1" w:lastColumn="0" w:oddVBand="0" w:evenVBand="0" w:oddHBand="0" w:evenHBand="0" w:firstRowFirstColumn="0" w:firstRowLastColumn="0" w:lastRowFirstColumn="0" w:lastRowLastColumn="0"/>
            <w:tcW w:w="4667" w:type="dxa"/>
            <w:noWrap/>
            <w:hideMark/>
          </w:tcPr>
          <w:p w14:paraId="775E8C5C" w14:textId="77777777" w:rsidR="00AB07D3" w:rsidRPr="00BF5DF5" w:rsidRDefault="00AB07D3" w:rsidP="00373E9F">
            <w:pPr>
              <w:rPr>
                <w:rFonts w:ascii="Abadi Extra Light" w:eastAsia="Times New Roman" w:hAnsi="Abadi Extra Light" w:cs="Calibri"/>
                <w:b w:val="0"/>
                <w:bCs w:val="0"/>
                <w:color w:val="000000"/>
                <w:sz w:val="20"/>
                <w:szCs w:val="20"/>
                <w:lang w:val="en-KE" w:eastAsia="en-KE"/>
              </w:rPr>
            </w:pPr>
            <w:r w:rsidRPr="00BF5DF5">
              <w:rPr>
                <w:rFonts w:ascii="Abadi Extra Light" w:eastAsia="Times New Roman" w:hAnsi="Abadi Extra Light" w:cs="Calibri"/>
                <w:b w:val="0"/>
                <w:bCs w:val="0"/>
                <w:color w:val="000000"/>
                <w:sz w:val="20"/>
                <w:szCs w:val="20"/>
                <w:lang w:val="en-KE" w:eastAsia="en-KE"/>
              </w:rPr>
              <w:t>Approval by CA</w:t>
            </w:r>
          </w:p>
        </w:tc>
        <w:tc>
          <w:tcPr>
            <w:tcW w:w="2044" w:type="dxa"/>
            <w:noWrap/>
            <w:hideMark/>
          </w:tcPr>
          <w:p w14:paraId="013B9EBC" w14:textId="77777777" w:rsidR="00AB07D3" w:rsidRPr="00BF5DF5" w:rsidRDefault="00AB07D3" w:rsidP="00373E9F">
            <w:pPr>
              <w:cnfStyle w:val="000000000000" w:firstRow="0" w:lastRow="0" w:firstColumn="0" w:lastColumn="0" w:oddVBand="0" w:evenVBand="0" w:oddHBand="0" w:evenHBand="0" w:firstRowFirstColumn="0" w:firstRowLastColumn="0" w:lastRowFirstColumn="0" w:lastRowLastColumn="0"/>
              <w:rPr>
                <w:rFonts w:ascii="Abadi Extra Light" w:eastAsia="Times New Roman" w:hAnsi="Abadi Extra Light" w:cs="Calibri"/>
                <w:color w:val="000000"/>
                <w:sz w:val="20"/>
                <w:szCs w:val="20"/>
                <w:lang w:val="en-KE" w:eastAsia="en-KE"/>
              </w:rPr>
            </w:pPr>
            <w:r w:rsidRPr="00BF5DF5">
              <w:rPr>
                <w:rFonts w:ascii="Abadi Extra Light" w:eastAsia="Times New Roman" w:hAnsi="Abadi Extra Light" w:cs="Calibri"/>
                <w:color w:val="000000"/>
                <w:sz w:val="20"/>
                <w:szCs w:val="20"/>
                <w:lang w:val="en-KE" w:eastAsia="en-KE"/>
              </w:rPr>
              <w:t>County Assembly</w:t>
            </w:r>
          </w:p>
        </w:tc>
        <w:tc>
          <w:tcPr>
            <w:tcW w:w="1339" w:type="dxa"/>
            <w:noWrap/>
            <w:hideMark/>
          </w:tcPr>
          <w:p w14:paraId="674548C5" w14:textId="77777777" w:rsidR="00AB07D3" w:rsidRPr="00BF5DF5" w:rsidRDefault="00AB07D3" w:rsidP="00373E9F">
            <w:pPr>
              <w:cnfStyle w:val="000000000000" w:firstRow="0" w:lastRow="0" w:firstColumn="0" w:lastColumn="0" w:oddVBand="0" w:evenVBand="0" w:oddHBand="0" w:evenHBand="0" w:firstRowFirstColumn="0" w:firstRowLastColumn="0" w:lastRowFirstColumn="0" w:lastRowLastColumn="0"/>
              <w:rPr>
                <w:rFonts w:ascii="Abadi Extra Light" w:eastAsia="Times New Roman" w:hAnsi="Abadi Extra Light" w:cs="Calibri"/>
                <w:color w:val="000000"/>
                <w:sz w:val="20"/>
                <w:szCs w:val="20"/>
                <w:lang w:val="en-KE" w:eastAsia="en-KE"/>
              </w:rPr>
            </w:pPr>
          </w:p>
        </w:tc>
        <w:tc>
          <w:tcPr>
            <w:tcW w:w="1237" w:type="dxa"/>
            <w:noWrap/>
            <w:hideMark/>
          </w:tcPr>
          <w:p w14:paraId="6805896D" w14:textId="77777777" w:rsidR="00AB07D3" w:rsidRPr="00BF5DF5" w:rsidRDefault="00AB07D3" w:rsidP="00373E9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KE" w:eastAsia="en-KE"/>
              </w:rPr>
            </w:pPr>
          </w:p>
        </w:tc>
      </w:tr>
      <w:tr w:rsidR="00AB07D3" w:rsidRPr="0021178B" w14:paraId="4BBAE221" w14:textId="77777777" w:rsidTr="003729E7">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4667" w:type="dxa"/>
            <w:hideMark/>
          </w:tcPr>
          <w:p w14:paraId="48E09CCA" w14:textId="77777777" w:rsidR="00AB07D3" w:rsidRPr="00BF5DF5" w:rsidRDefault="00AB07D3" w:rsidP="00373E9F">
            <w:pPr>
              <w:rPr>
                <w:rFonts w:ascii="Abadi Extra Light" w:eastAsia="Times New Roman" w:hAnsi="Abadi Extra Light" w:cs="Calibri"/>
                <w:b w:val="0"/>
                <w:bCs w:val="0"/>
                <w:color w:val="000000"/>
                <w:sz w:val="20"/>
                <w:szCs w:val="20"/>
                <w:lang w:val="en-KE" w:eastAsia="en-KE"/>
              </w:rPr>
            </w:pPr>
            <w:r>
              <w:rPr>
                <w:rFonts w:ascii="Abadi Extra Light" w:eastAsia="Times New Roman" w:hAnsi="Abadi Extra Light" w:cs="Calibri"/>
                <w:b w:val="0"/>
                <w:bCs w:val="0"/>
                <w:color w:val="000000"/>
                <w:sz w:val="20"/>
                <w:szCs w:val="20"/>
                <w:lang w:eastAsia="en-KE"/>
              </w:rPr>
              <w:t>C</w:t>
            </w:r>
            <w:r w:rsidRPr="00BF5DF5">
              <w:rPr>
                <w:rFonts w:ascii="Abadi Extra Light" w:eastAsia="Times New Roman" w:hAnsi="Abadi Extra Light" w:cs="Calibri"/>
                <w:b w:val="0"/>
                <w:bCs w:val="0"/>
                <w:color w:val="000000"/>
                <w:sz w:val="20"/>
                <w:szCs w:val="20"/>
                <w:lang w:val="en-KE" w:eastAsia="en-KE"/>
              </w:rPr>
              <w:t>ounty budget and economic forum for county budget consultation process</w:t>
            </w:r>
          </w:p>
        </w:tc>
        <w:tc>
          <w:tcPr>
            <w:tcW w:w="2044" w:type="dxa"/>
            <w:noWrap/>
            <w:hideMark/>
          </w:tcPr>
          <w:p w14:paraId="6BEBDF60" w14:textId="77777777" w:rsidR="00AB07D3" w:rsidRPr="00BF5DF5" w:rsidRDefault="00AB07D3" w:rsidP="00373E9F">
            <w:pPr>
              <w:cnfStyle w:val="000000100000" w:firstRow="0" w:lastRow="0" w:firstColumn="0" w:lastColumn="0" w:oddVBand="0" w:evenVBand="0" w:oddHBand="1" w:evenHBand="0" w:firstRowFirstColumn="0" w:firstRowLastColumn="0" w:lastRowFirstColumn="0" w:lastRowLastColumn="0"/>
              <w:rPr>
                <w:rFonts w:ascii="Abadi Extra Light" w:eastAsia="Times New Roman" w:hAnsi="Abadi Extra Light" w:cs="Calibri"/>
                <w:color w:val="000000"/>
                <w:sz w:val="20"/>
                <w:szCs w:val="20"/>
                <w:lang w:val="en-KE" w:eastAsia="en-KE"/>
              </w:rPr>
            </w:pPr>
          </w:p>
        </w:tc>
        <w:tc>
          <w:tcPr>
            <w:tcW w:w="1339" w:type="dxa"/>
            <w:noWrap/>
            <w:hideMark/>
          </w:tcPr>
          <w:p w14:paraId="52E55897" w14:textId="77777777" w:rsidR="00AB07D3" w:rsidRPr="00BF5DF5" w:rsidRDefault="00AB07D3" w:rsidP="00373E9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KE" w:eastAsia="en-KE"/>
              </w:rPr>
            </w:pPr>
          </w:p>
        </w:tc>
        <w:tc>
          <w:tcPr>
            <w:tcW w:w="1237" w:type="dxa"/>
            <w:shd w:val="clear" w:color="auto" w:fill="C00000"/>
            <w:noWrap/>
            <w:hideMark/>
          </w:tcPr>
          <w:p w14:paraId="4384764B" w14:textId="77777777" w:rsidR="00AB07D3" w:rsidRPr="00BF5DF5" w:rsidRDefault="00AB07D3" w:rsidP="00373E9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KE" w:eastAsia="en-KE"/>
              </w:rPr>
            </w:pPr>
            <w:r w:rsidRPr="00BF5DF5">
              <w:rPr>
                <w:rFonts w:ascii="Calibri" w:eastAsia="Times New Roman" w:hAnsi="Calibri" w:cs="Calibri"/>
                <w:color w:val="000000"/>
                <w:sz w:val="20"/>
                <w:szCs w:val="20"/>
                <w:lang w:val="en-KE" w:eastAsia="en-KE"/>
              </w:rPr>
              <w:t> </w:t>
            </w:r>
          </w:p>
        </w:tc>
      </w:tr>
    </w:tbl>
    <w:p w14:paraId="1AD6E953" w14:textId="0D6A034E" w:rsidR="00086021" w:rsidRDefault="009E19AB" w:rsidP="00BE546C">
      <w:pPr>
        <w:pStyle w:val="BodyText"/>
      </w:pPr>
      <w:r>
        <w:rPr>
          <w:i/>
          <w:iCs/>
        </w:rPr>
        <w:t>Source: Analysis by Consultant drawn from PFM Act, 2012</w:t>
      </w:r>
      <w:r>
        <w:br w:type="page"/>
      </w:r>
    </w:p>
    <w:p w14:paraId="41C1D3CB" w14:textId="77777777" w:rsidR="00086021" w:rsidRDefault="00086021"/>
    <w:p w14:paraId="43E6E6E4" w14:textId="77777777" w:rsidR="00086021" w:rsidRDefault="009E19AB">
      <w:pPr>
        <w:pStyle w:val="Heading3"/>
        <w:rPr>
          <w:color w:val="C9211E"/>
        </w:rPr>
      </w:pPr>
      <w:r>
        <w:rPr>
          <w:rFonts w:ascii="Franklin Gothic Demi" w:eastAsia="Franklin Gothic" w:hAnsi="Franklin Gothic Demi" w:cs="Franklin Gothic"/>
          <w:color w:val="C9211E"/>
        </w:rPr>
        <w:t>Annex 9: Purchasing Mechanisms in Kenya</w:t>
      </w:r>
    </w:p>
    <w:p w14:paraId="0C3491FF" w14:textId="77777777" w:rsidR="00086021" w:rsidRDefault="00086021"/>
    <w:p w14:paraId="57D19CF5" w14:textId="77777777" w:rsidR="00086021" w:rsidRDefault="00086021"/>
    <w:tbl>
      <w:tblPr>
        <w:tblW w:w="9407" w:type="dxa"/>
        <w:tblInd w:w="108" w:type="dxa"/>
        <w:tblLook w:val="04A0" w:firstRow="1" w:lastRow="0" w:firstColumn="1" w:lastColumn="0" w:noHBand="0" w:noVBand="1"/>
      </w:tblPr>
      <w:tblGrid>
        <w:gridCol w:w="2389"/>
        <w:gridCol w:w="2944"/>
        <w:gridCol w:w="4074"/>
      </w:tblGrid>
      <w:tr w:rsidR="00086021" w14:paraId="555EF74E" w14:textId="77777777">
        <w:trPr>
          <w:trHeight w:val="333"/>
        </w:trPr>
        <w:tc>
          <w:tcPr>
            <w:tcW w:w="2389" w:type="dxa"/>
            <w:tcBorders>
              <w:top w:val="single" w:sz="4" w:space="0" w:color="297FD5"/>
              <w:left w:val="single" w:sz="4" w:space="0" w:color="297FD5"/>
              <w:bottom w:val="single" w:sz="4" w:space="0" w:color="297FD5"/>
              <w:right w:val="single" w:sz="4" w:space="0" w:color="297FD5"/>
            </w:tcBorders>
            <w:shd w:val="clear" w:color="auto" w:fill="C9211E"/>
          </w:tcPr>
          <w:p w14:paraId="1F7F3B1F" w14:textId="77777777" w:rsidR="00086021" w:rsidRDefault="009E19AB">
            <w:pPr>
              <w:pStyle w:val="TableContents"/>
              <w:rPr>
                <w:color w:val="FEFEFE"/>
                <w:szCs w:val="18"/>
              </w:rPr>
            </w:pPr>
            <w:r>
              <w:rPr>
                <w:color w:val="FEFEFE"/>
                <w:szCs w:val="18"/>
              </w:rPr>
              <w:t>Purchaser</w:t>
            </w:r>
          </w:p>
        </w:tc>
        <w:tc>
          <w:tcPr>
            <w:tcW w:w="2944" w:type="dxa"/>
            <w:tcBorders>
              <w:top w:val="single" w:sz="4" w:space="0" w:color="297FD5"/>
              <w:left w:val="single" w:sz="4" w:space="0" w:color="297FD5"/>
              <w:bottom w:val="single" w:sz="4" w:space="0" w:color="297FD5"/>
              <w:right w:val="single" w:sz="4" w:space="0" w:color="297FD5"/>
            </w:tcBorders>
            <w:shd w:val="clear" w:color="auto" w:fill="C9211E"/>
          </w:tcPr>
          <w:p w14:paraId="6F0BDF1D" w14:textId="77777777" w:rsidR="00086021" w:rsidRDefault="009E19AB">
            <w:pPr>
              <w:pStyle w:val="TableContents"/>
              <w:rPr>
                <w:color w:val="FEFEFE"/>
                <w:szCs w:val="18"/>
              </w:rPr>
            </w:pPr>
            <w:r>
              <w:rPr>
                <w:color w:val="FEFEFE"/>
                <w:szCs w:val="18"/>
              </w:rPr>
              <w:t>Supplier/ Source</w:t>
            </w:r>
          </w:p>
        </w:tc>
        <w:tc>
          <w:tcPr>
            <w:tcW w:w="4074" w:type="dxa"/>
            <w:tcBorders>
              <w:top w:val="single" w:sz="4" w:space="0" w:color="297FD5"/>
              <w:left w:val="single" w:sz="4" w:space="0" w:color="297FD5"/>
              <w:bottom w:val="single" w:sz="4" w:space="0" w:color="297FD5"/>
              <w:right w:val="single" w:sz="4" w:space="0" w:color="297FD5"/>
            </w:tcBorders>
            <w:shd w:val="clear" w:color="auto" w:fill="C9211E"/>
          </w:tcPr>
          <w:p w14:paraId="357B46FC" w14:textId="77777777" w:rsidR="00086021" w:rsidRDefault="009E19AB">
            <w:pPr>
              <w:pStyle w:val="TableContents"/>
              <w:rPr>
                <w:color w:val="FEFEFE"/>
                <w:szCs w:val="18"/>
              </w:rPr>
            </w:pPr>
            <w:r>
              <w:rPr>
                <w:color w:val="FEFEFE"/>
                <w:szCs w:val="18"/>
              </w:rPr>
              <w:t>Purchasing Mechanism</w:t>
            </w:r>
          </w:p>
        </w:tc>
      </w:tr>
      <w:tr w:rsidR="00086021" w14:paraId="05FFF8A3" w14:textId="77777777">
        <w:trPr>
          <w:trHeight w:val="945"/>
        </w:trPr>
        <w:tc>
          <w:tcPr>
            <w:tcW w:w="2389" w:type="dxa"/>
            <w:tcBorders>
              <w:top w:val="single" w:sz="4" w:space="0" w:color="7EB1E6"/>
              <w:left w:val="single" w:sz="4" w:space="0" w:color="7EB1E6"/>
              <w:bottom w:val="single" w:sz="4" w:space="0" w:color="7EB1E6"/>
              <w:right w:val="single" w:sz="4" w:space="0" w:color="7EB1E6"/>
            </w:tcBorders>
            <w:shd w:val="clear" w:color="auto" w:fill="8ACC8E"/>
          </w:tcPr>
          <w:p w14:paraId="3742494C" w14:textId="77777777" w:rsidR="00086021" w:rsidRDefault="009E19AB">
            <w:pPr>
              <w:pStyle w:val="TableContents"/>
              <w:rPr>
                <w:szCs w:val="18"/>
              </w:rPr>
            </w:pPr>
            <w:r>
              <w:rPr>
                <w:szCs w:val="18"/>
              </w:rPr>
              <w:t>National Government (MOH) &amp; County Governments</w:t>
            </w:r>
          </w:p>
        </w:tc>
        <w:tc>
          <w:tcPr>
            <w:tcW w:w="2944" w:type="dxa"/>
            <w:tcBorders>
              <w:top w:val="single" w:sz="4" w:space="0" w:color="7EB1E6"/>
              <w:left w:val="single" w:sz="4" w:space="0" w:color="7EB1E6"/>
              <w:bottom w:val="single" w:sz="4" w:space="0" w:color="7EB1E6"/>
              <w:right w:val="single" w:sz="4" w:space="0" w:color="7EB1E6"/>
            </w:tcBorders>
            <w:shd w:val="clear" w:color="auto" w:fill="8ACC8E"/>
          </w:tcPr>
          <w:p w14:paraId="0502B9E9" w14:textId="77777777" w:rsidR="00086021" w:rsidRDefault="009E19AB">
            <w:pPr>
              <w:pStyle w:val="TableContents"/>
              <w:rPr>
                <w:szCs w:val="18"/>
              </w:rPr>
            </w:pPr>
            <w:r>
              <w:rPr>
                <w:szCs w:val="18"/>
              </w:rPr>
              <w:t>Kenya Medical Supplies Agency (KEMSA)</w:t>
            </w:r>
            <w:r>
              <w:rPr>
                <w:szCs w:val="18"/>
              </w:rPr>
              <w:br/>
              <w:t>Private Firms</w:t>
            </w:r>
          </w:p>
        </w:tc>
        <w:tc>
          <w:tcPr>
            <w:tcW w:w="4074" w:type="dxa"/>
            <w:tcBorders>
              <w:top w:val="single" w:sz="4" w:space="0" w:color="7EB1E6"/>
              <w:left w:val="single" w:sz="4" w:space="0" w:color="7EB1E6"/>
              <w:bottom w:val="single" w:sz="4" w:space="0" w:color="7EB1E6"/>
              <w:right w:val="single" w:sz="4" w:space="0" w:color="7EB1E6"/>
            </w:tcBorders>
            <w:shd w:val="clear" w:color="auto" w:fill="8ACC8E"/>
          </w:tcPr>
          <w:p w14:paraId="54A2D631" w14:textId="77777777" w:rsidR="00086021" w:rsidRDefault="009E19AB">
            <w:pPr>
              <w:pStyle w:val="TableContents"/>
              <w:rPr>
                <w:szCs w:val="18"/>
              </w:rPr>
            </w:pPr>
            <w:r>
              <w:rPr>
                <w:szCs w:val="18"/>
              </w:rPr>
              <w:t>Line Budgets; Global Budgets; Programme-Based Budgets; Fee for Service (FFS)</w:t>
            </w:r>
          </w:p>
        </w:tc>
      </w:tr>
      <w:tr w:rsidR="00086021" w14:paraId="4196E3DE" w14:textId="77777777">
        <w:trPr>
          <w:trHeight w:val="633"/>
        </w:trPr>
        <w:tc>
          <w:tcPr>
            <w:tcW w:w="2389" w:type="dxa"/>
            <w:tcBorders>
              <w:top w:val="single" w:sz="4" w:space="0" w:color="7EB1E6"/>
              <w:left w:val="single" w:sz="4" w:space="0" w:color="7EB1E6"/>
              <w:bottom w:val="single" w:sz="4" w:space="0" w:color="7EB1E6"/>
              <w:right w:val="single" w:sz="4" w:space="0" w:color="7EB1E6"/>
            </w:tcBorders>
          </w:tcPr>
          <w:p w14:paraId="47F228BB" w14:textId="77777777" w:rsidR="00086021" w:rsidRDefault="009E19AB">
            <w:pPr>
              <w:pStyle w:val="TableContents"/>
              <w:rPr>
                <w:szCs w:val="18"/>
              </w:rPr>
            </w:pPr>
            <w:r>
              <w:rPr>
                <w:szCs w:val="18"/>
              </w:rPr>
              <w:t>Faith Based Not For Profit (NFP) facilities</w:t>
            </w:r>
          </w:p>
        </w:tc>
        <w:tc>
          <w:tcPr>
            <w:tcW w:w="2944" w:type="dxa"/>
            <w:tcBorders>
              <w:top w:val="single" w:sz="4" w:space="0" w:color="7EB1E6"/>
              <w:left w:val="single" w:sz="4" w:space="0" w:color="7EB1E6"/>
              <w:bottom w:val="single" w:sz="4" w:space="0" w:color="7EB1E6"/>
              <w:right w:val="single" w:sz="4" w:space="0" w:color="7EB1E6"/>
            </w:tcBorders>
          </w:tcPr>
          <w:p w14:paraId="30116B85" w14:textId="77777777" w:rsidR="00086021" w:rsidRDefault="009E19AB">
            <w:pPr>
              <w:pStyle w:val="TableContents"/>
              <w:rPr>
                <w:szCs w:val="18"/>
              </w:rPr>
            </w:pPr>
            <w:r>
              <w:rPr>
                <w:szCs w:val="18"/>
              </w:rPr>
              <w:t>MEDS; Private Firms</w:t>
            </w:r>
          </w:p>
        </w:tc>
        <w:tc>
          <w:tcPr>
            <w:tcW w:w="4074" w:type="dxa"/>
            <w:tcBorders>
              <w:top w:val="single" w:sz="4" w:space="0" w:color="7EB1E6"/>
              <w:left w:val="single" w:sz="4" w:space="0" w:color="7EB1E6"/>
              <w:bottom w:val="single" w:sz="4" w:space="0" w:color="7EB1E6"/>
              <w:right w:val="single" w:sz="4" w:space="0" w:color="7EB1E6"/>
            </w:tcBorders>
          </w:tcPr>
          <w:p w14:paraId="2756A223" w14:textId="77777777" w:rsidR="00086021" w:rsidRDefault="009E19AB">
            <w:pPr>
              <w:pStyle w:val="TableContents"/>
              <w:rPr>
                <w:szCs w:val="18"/>
              </w:rPr>
            </w:pPr>
            <w:r>
              <w:rPr>
                <w:szCs w:val="18"/>
              </w:rPr>
              <w:t>FFS</w:t>
            </w:r>
          </w:p>
        </w:tc>
      </w:tr>
      <w:tr w:rsidR="00086021" w14:paraId="3DC2924E" w14:textId="77777777">
        <w:trPr>
          <w:trHeight w:val="633"/>
        </w:trPr>
        <w:tc>
          <w:tcPr>
            <w:tcW w:w="2389" w:type="dxa"/>
            <w:tcBorders>
              <w:top w:val="single" w:sz="4" w:space="0" w:color="7EB1E6"/>
              <w:left w:val="single" w:sz="4" w:space="0" w:color="7EB1E6"/>
              <w:bottom w:val="single" w:sz="4" w:space="0" w:color="7EB1E6"/>
              <w:right w:val="single" w:sz="4" w:space="0" w:color="7EB1E6"/>
            </w:tcBorders>
            <w:shd w:val="clear" w:color="auto" w:fill="8ACC8E"/>
          </w:tcPr>
          <w:p w14:paraId="54B09C9B" w14:textId="77777777" w:rsidR="00086021" w:rsidRDefault="009E19AB">
            <w:pPr>
              <w:pStyle w:val="TableContents"/>
              <w:rPr>
                <w:szCs w:val="18"/>
              </w:rPr>
            </w:pPr>
            <w:r>
              <w:rPr>
                <w:szCs w:val="18"/>
              </w:rPr>
              <w:t>Not For Profit (NFP) &amp; For Profit (FP) Private Facilities</w:t>
            </w:r>
          </w:p>
        </w:tc>
        <w:tc>
          <w:tcPr>
            <w:tcW w:w="2944" w:type="dxa"/>
            <w:tcBorders>
              <w:top w:val="single" w:sz="4" w:space="0" w:color="7EB1E6"/>
              <w:left w:val="single" w:sz="4" w:space="0" w:color="7EB1E6"/>
              <w:bottom w:val="single" w:sz="4" w:space="0" w:color="7EB1E6"/>
              <w:right w:val="single" w:sz="4" w:space="0" w:color="7EB1E6"/>
            </w:tcBorders>
            <w:shd w:val="clear" w:color="auto" w:fill="8ACC8E"/>
          </w:tcPr>
          <w:p w14:paraId="1674C1CD" w14:textId="77777777" w:rsidR="00086021" w:rsidRDefault="009E19AB">
            <w:pPr>
              <w:pStyle w:val="TableContents"/>
              <w:rPr>
                <w:szCs w:val="18"/>
              </w:rPr>
            </w:pPr>
            <w:r>
              <w:rPr>
                <w:szCs w:val="18"/>
              </w:rPr>
              <w:t>MEDS; Private Firms</w:t>
            </w:r>
          </w:p>
        </w:tc>
        <w:tc>
          <w:tcPr>
            <w:tcW w:w="4074" w:type="dxa"/>
            <w:tcBorders>
              <w:top w:val="single" w:sz="4" w:space="0" w:color="7EB1E6"/>
              <w:left w:val="single" w:sz="4" w:space="0" w:color="7EB1E6"/>
              <w:bottom w:val="single" w:sz="4" w:space="0" w:color="7EB1E6"/>
              <w:right w:val="single" w:sz="4" w:space="0" w:color="7EB1E6"/>
            </w:tcBorders>
            <w:shd w:val="clear" w:color="auto" w:fill="8ACC8E"/>
          </w:tcPr>
          <w:p w14:paraId="183B80A2" w14:textId="77777777" w:rsidR="00086021" w:rsidRDefault="009E19AB">
            <w:pPr>
              <w:pStyle w:val="TableContents"/>
              <w:rPr>
                <w:szCs w:val="18"/>
              </w:rPr>
            </w:pPr>
            <w:r>
              <w:rPr>
                <w:szCs w:val="18"/>
              </w:rPr>
              <w:t>FFS</w:t>
            </w:r>
          </w:p>
        </w:tc>
      </w:tr>
      <w:tr w:rsidR="00086021" w14:paraId="68E20F39" w14:textId="77777777">
        <w:trPr>
          <w:trHeight w:val="322"/>
        </w:trPr>
        <w:tc>
          <w:tcPr>
            <w:tcW w:w="2389" w:type="dxa"/>
            <w:tcBorders>
              <w:top w:val="single" w:sz="4" w:space="0" w:color="7EB1E6"/>
              <w:left w:val="single" w:sz="4" w:space="0" w:color="7EB1E6"/>
              <w:bottom w:val="single" w:sz="4" w:space="0" w:color="7EB1E6"/>
              <w:right w:val="single" w:sz="4" w:space="0" w:color="7EB1E6"/>
            </w:tcBorders>
          </w:tcPr>
          <w:p w14:paraId="6C7390CD" w14:textId="77777777" w:rsidR="00086021" w:rsidRDefault="009E19AB">
            <w:pPr>
              <w:pStyle w:val="TableContents"/>
              <w:rPr>
                <w:szCs w:val="18"/>
              </w:rPr>
            </w:pPr>
            <w:r>
              <w:rPr>
                <w:szCs w:val="18"/>
              </w:rPr>
              <w:t>Partners</w:t>
            </w:r>
          </w:p>
        </w:tc>
        <w:tc>
          <w:tcPr>
            <w:tcW w:w="2944" w:type="dxa"/>
            <w:tcBorders>
              <w:top w:val="single" w:sz="4" w:space="0" w:color="7EB1E6"/>
              <w:left w:val="single" w:sz="4" w:space="0" w:color="7EB1E6"/>
              <w:bottom w:val="single" w:sz="4" w:space="0" w:color="7EB1E6"/>
              <w:right w:val="single" w:sz="4" w:space="0" w:color="7EB1E6"/>
            </w:tcBorders>
          </w:tcPr>
          <w:p w14:paraId="2886F9D7" w14:textId="77777777" w:rsidR="00086021" w:rsidRDefault="009E19AB">
            <w:pPr>
              <w:pStyle w:val="TableContents"/>
              <w:rPr>
                <w:szCs w:val="18"/>
              </w:rPr>
            </w:pPr>
            <w:r>
              <w:rPr>
                <w:szCs w:val="18"/>
              </w:rPr>
              <w:t>KEMSA; MEDS; Private Firms</w:t>
            </w:r>
          </w:p>
        </w:tc>
        <w:tc>
          <w:tcPr>
            <w:tcW w:w="4074" w:type="dxa"/>
            <w:tcBorders>
              <w:top w:val="single" w:sz="4" w:space="0" w:color="7EB1E6"/>
              <w:left w:val="single" w:sz="4" w:space="0" w:color="7EB1E6"/>
              <w:bottom w:val="single" w:sz="4" w:space="0" w:color="7EB1E6"/>
              <w:right w:val="single" w:sz="4" w:space="0" w:color="7EB1E6"/>
            </w:tcBorders>
          </w:tcPr>
          <w:p w14:paraId="5D2B8033" w14:textId="77777777" w:rsidR="00086021" w:rsidRDefault="009E19AB">
            <w:pPr>
              <w:pStyle w:val="TableContents"/>
              <w:rPr>
                <w:szCs w:val="18"/>
              </w:rPr>
            </w:pPr>
            <w:r>
              <w:rPr>
                <w:szCs w:val="18"/>
              </w:rPr>
              <w:t>FFS</w:t>
            </w:r>
          </w:p>
        </w:tc>
      </w:tr>
      <w:tr w:rsidR="00086021" w14:paraId="4C4A1577" w14:textId="77777777">
        <w:trPr>
          <w:trHeight w:val="633"/>
        </w:trPr>
        <w:tc>
          <w:tcPr>
            <w:tcW w:w="2389" w:type="dxa"/>
            <w:tcBorders>
              <w:top w:val="single" w:sz="4" w:space="0" w:color="7EB1E6"/>
              <w:left w:val="single" w:sz="4" w:space="0" w:color="7EB1E6"/>
              <w:bottom w:val="single" w:sz="4" w:space="0" w:color="7EB1E6"/>
              <w:right w:val="single" w:sz="4" w:space="0" w:color="7EB1E6"/>
            </w:tcBorders>
            <w:shd w:val="clear" w:color="auto" w:fill="8ACC8E"/>
          </w:tcPr>
          <w:p w14:paraId="436EF0B9" w14:textId="77777777" w:rsidR="00086021" w:rsidRDefault="009E19AB">
            <w:pPr>
              <w:pStyle w:val="TableContents"/>
              <w:rPr>
                <w:szCs w:val="18"/>
              </w:rPr>
            </w:pPr>
            <w:r>
              <w:rPr>
                <w:szCs w:val="18"/>
              </w:rPr>
              <w:t>Private Insurance Firms</w:t>
            </w:r>
          </w:p>
        </w:tc>
        <w:tc>
          <w:tcPr>
            <w:tcW w:w="2944" w:type="dxa"/>
            <w:tcBorders>
              <w:top w:val="single" w:sz="4" w:space="0" w:color="7EB1E6"/>
              <w:left w:val="single" w:sz="4" w:space="0" w:color="7EB1E6"/>
              <w:bottom w:val="single" w:sz="4" w:space="0" w:color="7EB1E6"/>
              <w:right w:val="single" w:sz="4" w:space="0" w:color="7EB1E6"/>
            </w:tcBorders>
            <w:shd w:val="clear" w:color="auto" w:fill="8ACC8E"/>
          </w:tcPr>
          <w:p w14:paraId="1215BC15" w14:textId="77777777" w:rsidR="00086021" w:rsidRDefault="009E19AB">
            <w:pPr>
              <w:pStyle w:val="TableContents"/>
              <w:rPr>
                <w:szCs w:val="18"/>
              </w:rPr>
            </w:pPr>
            <w:r>
              <w:rPr>
                <w:szCs w:val="18"/>
              </w:rPr>
              <w:t>Public Facilities</w:t>
            </w:r>
            <w:r>
              <w:rPr>
                <w:szCs w:val="18"/>
              </w:rPr>
              <w:br/>
              <w:t>Private Firms</w:t>
            </w:r>
          </w:p>
        </w:tc>
        <w:tc>
          <w:tcPr>
            <w:tcW w:w="4074" w:type="dxa"/>
            <w:tcBorders>
              <w:top w:val="single" w:sz="4" w:space="0" w:color="7EB1E6"/>
              <w:left w:val="single" w:sz="4" w:space="0" w:color="7EB1E6"/>
              <w:bottom w:val="single" w:sz="4" w:space="0" w:color="7EB1E6"/>
              <w:right w:val="single" w:sz="4" w:space="0" w:color="7EB1E6"/>
            </w:tcBorders>
            <w:shd w:val="clear" w:color="auto" w:fill="8ACC8E"/>
          </w:tcPr>
          <w:p w14:paraId="66DD210E" w14:textId="77777777" w:rsidR="00086021" w:rsidRDefault="009E19AB">
            <w:pPr>
              <w:pStyle w:val="TableContents"/>
              <w:rPr>
                <w:szCs w:val="18"/>
              </w:rPr>
            </w:pPr>
            <w:r>
              <w:rPr>
                <w:szCs w:val="18"/>
              </w:rPr>
              <w:t>Capitation/ FFS</w:t>
            </w:r>
            <w:r>
              <w:rPr>
                <w:szCs w:val="18"/>
              </w:rPr>
              <w:br/>
              <w:t>FFS/ Bundled/ Per-Diem</w:t>
            </w:r>
          </w:p>
        </w:tc>
      </w:tr>
      <w:tr w:rsidR="00086021" w14:paraId="4D1F060D" w14:textId="77777777">
        <w:trPr>
          <w:trHeight w:val="633"/>
        </w:trPr>
        <w:tc>
          <w:tcPr>
            <w:tcW w:w="2389" w:type="dxa"/>
            <w:tcBorders>
              <w:top w:val="single" w:sz="4" w:space="0" w:color="7EB1E6"/>
              <w:left w:val="single" w:sz="4" w:space="0" w:color="7EB1E6"/>
              <w:bottom w:val="single" w:sz="4" w:space="0" w:color="7EB1E6"/>
              <w:right w:val="single" w:sz="4" w:space="0" w:color="7EB1E6"/>
            </w:tcBorders>
          </w:tcPr>
          <w:p w14:paraId="512647FA" w14:textId="77777777" w:rsidR="00086021" w:rsidRDefault="009E19AB">
            <w:pPr>
              <w:pStyle w:val="TableContents"/>
              <w:rPr>
                <w:szCs w:val="18"/>
              </w:rPr>
            </w:pPr>
            <w:r>
              <w:rPr>
                <w:szCs w:val="18"/>
              </w:rPr>
              <w:t>Social Insurance Firms</w:t>
            </w:r>
          </w:p>
        </w:tc>
        <w:tc>
          <w:tcPr>
            <w:tcW w:w="2944" w:type="dxa"/>
            <w:tcBorders>
              <w:top w:val="single" w:sz="4" w:space="0" w:color="7EB1E6"/>
              <w:left w:val="single" w:sz="4" w:space="0" w:color="7EB1E6"/>
              <w:bottom w:val="single" w:sz="4" w:space="0" w:color="7EB1E6"/>
              <w:right w:val="single" w:sz="4" w:space="0" w:color="7EB1E6"/>
            </w:tcBorders>
          </w:tcPr>
          <w:p w14:paraId="44A4222E" w14:textId="77777777" w:rsidR="00086021" w:rsidRDefault="009E19AB">
            <w:pPr>
              <w:pStyle w:val="TableContents"/>
              <w:rPr>
                <w:szCs w:val="18"/>
              </w:rPr>
            </w:pPr>
            <w:r>
              <w:rPr>
                <w:szCs w:val="18"/>
              </w:rPr>
              <w:t>Public Facilities</w:t>
            </w:r>
            <w:r>
              <w:rPr>
                <w:szCs w:val="18"/>
              </w:rPr>
              <w:br/>
              <w:t>Private Firms</w:t>
            </w:r>
          </w:p>
        </w:tc>
        <w:tc>
          <w:tcPr>
            <w:tcW w:w="4074" w:type="dxa"/>
            <w:tcBorders>
              <w:top w:val="single" w:sz="4" w:space="0" w:color="7EB1E6"/>
              <w:left w:val="single" w:sz="4" w:space="0" w:color="7EB1E6"/>
              <w:bottom w:val="single" w:sz="4" w:space="0" w:color="7EB1E6"/>
              <w:right w:val="single" w:sz="4" w:space="0" w:color="7EB1E6"/>
            </w:tcBorders>
          </w:tcPr>
          <w:p w14:paraId="67C008D0" w14:textId="77777777" w:rsidR="00086021" w:rsidRDefault="009E19AB">
            <w:pPr>
              <w:pStyle w:val="TableContents"/>
              <w:rPr>
                <w:szCs w:val="18"/>
              </w:rPr>
            </w:pPr>
            <w:r>
              <w:rPr>
                <w:szCs w:val="18"/>
              </w:rPr>
              <w:t>Capitation/ FFS</w:t>
            </w:r>
            <w:r>
              <w:rPr>
                <w:szCs w:val="18"/>
              </w:rPr>
              <w:br/>
              <w:t>FFS/ Bundled/ Per-Diem</w:t>
            </w:r>
          </w:p>
        </w:tc>
      </w:tr>
      <w:tr w:rsidR="00086021" w14:paraId="152D5931" w14:textId="77777777">
        <w:trPr>
          <w:trHeight w:val="633"/>
        </w:trPr>
        <w:tc>
          <w:tcPr>
            <w:tcW w:w="2389" w:type="dxa"/>
            <w:tcBorders>
              <w:top w:val="single" w:sz="4" w:space="0" w:color="7EB1E6"/>
              <w:left w:val="single" w:sz="4" w:space="0" w:color="7EB1E6"/>
              <w:bottom w:val="single" w:sz="4" w:space="0" w:color="7EB1E6"/>
              <w:right w:val="single" w:sz="4" w:space="0" w:color="7EB1E6"/>
            </w:tcBorders>
            <w:shd w:val="clear" w:color="auto" w:fill="8ACC8E"/>
          </w:tcPr>
          <w:p w14:paraId="3A380F8B" w14:textId="77777777" w:rsidR="00086021" w:rsidRDefault="009E19AB">
            <w:pPr>
              <w:pStyle w:val="TableContents"/>
              <w:rPr>
                <w:szCs w:val="18"/>
              </w:rPr>
            </w:pPr>
            <w:r>
              <w:rPr>
                <w:szCs w:val="18"/>
              </w:rPr>
              <w:t>Households</w:t>
            </w:r>
          </w:p>
        </w:tc>
        <w:tc>
          <w:tcPr>
            <w:tcW w:w="2944" w:type="dxa"/>
            <w:tcBorders>
              <w:top w:val="single" w:sz="4" w:space="0" w:color="7EB1E6"/>
              <w:left w:val="single" w:sz="4" w:space="0" w:color="7EB1E6"/>
              <w:bottom w:val="single" w:sz="4" w:space="0" w:color="7EB1E6"/>
              <w:right w:val="single" w:sz="4" w:space="0" w:color="7EB1E6"/>
            </w:tcBorders>
            <w:shd w:val="clear" w:color="auto" w:fill="8ACC8E"/>
          </w:tcPr>
          <w:p w14:paraId="13B913C7" w14:textId="77777777" w:rsidR="00086021" w:rsidRDefault="009E19AB">
            <w:pPr>
              <w:pStyle w:val="TableContents"/>
              <w:rPr>
                <w:szCs w:val="18"/>
              </w:rPr>
            </w:pPr>
            <w:r>
              <w:rPr>
                <w:szCs w:val="18"/>
              </w:rPr>
              <w:t>Public Facilities</w:t>
            </w:r>
            <w:r>
              <w:rPr>
                <w:szCs w:val="18"/>
              </w:rPr>
              <w:br/>
              <w:t>Private Firms</w:t>
            </w:r>
          </w:p>
        </w:tc>
        <w:tc>
          <w:tcPr>
            <w:tcW w:w="4074" w:type="dxa"/>
            <w:tcBorders>
              <w:top w:val="single" w:sz="4" w:space="0" w:color="7EB1E6"/>
              <w:left w:val="single" w:sz="4" w:space="0" w:color="7EB1E6"/>
              <w:bottom w:val="single" w:sz="4" w:space="0" w:color="7EB1E6"/>
              <w:right w:val="single" w:sz="4" w:space="0" w:color="7EB1E6"/>
            </w:tcBorders>
            <w:shd w:val="clear" w:color="auto" w:fill="8ACC8E"/>
          </w:tcPr>
          <w:p w14:paraId="3E386953" w14:textId="77777777" w:rsidR="00086021" w:rsidRDefault="009E19AB">
            <w:pPr>
              <w:pStyle w:val="TableContents"/>
              <w:rPr>
                <w:szCs w:val="18"/>
              </w:rPr>
            </w:pPr>
            <w:r>
              <w:rPr>
                <w:szCs w:val="18"/>
              </w:rPr>
              <w:t>FFS</w:t>
            </w:r>
            <w:r>
              <w:rPr>
                <w:szCs w:val="18"/>
              </w:rPr>
              <w:br/>
              <w:t>FFS/ Bundled/ Per-Diem</w:t>
            </w:r>
          </w:p>
        </w:tc>
      </w:tr>
    </w:tbl>
    <w:p w14:paraId="07C35D95" w14:textId="77777777" w:rsidR="00086021" w:rsidRDefault="00086021"/>
    <w:p w14:paraId="6CE9DA1E" w14:textId="77777777" w:rsidR="00086021" w:rsidRDefault="009E19AB">
      <w:pPr>
        <w:pStyle w:val="BodyText"/>
        <w:rPr>
          <w:i/>
          <w:iCs/>
          <w:sz w:val="16"/>
          <w:szCs w:val="16"/>
        </w:rPr>
      </w:pPr>
      <w:r>
        <w:rPr>
          <w:i/>
          <w:iCs/>
          <w:sz w:val="16"/>
          <w:szCs w:val="16"/>
        </w:rPr>
        <w:t>Source: Analysis by consultant</w:t>
      </w:r>
    </w:p>
    <w:p w14:paraId="6261AB8E" w14:textId="77777777" w:rsidR="00086021" w:rsidRDefault="00086021">
      <w:pPr>
        <w:pStyle w:val="BodyText"/>
        <w:rPr>
          <w:i/>
          <w:iCs/>
          <w:sz w:val="16"/>
          <w:szCs w:val="16"/>
        </w:rPr>
      </w:pPr>
    </w:p>
    <w:p w14:paraId="57FF4DC3" w14:textId="77777777" w:rsidR="00086021" w:rsidRDefault="009E19AB">
      <w:pPr>
        <w:pStyle w:val="Heading3"/>
      </w:pPr>
      <w:r>
        <w:t>Annex 10: List of Respondents</w:t>
      </w:r>
    </w:p>
    <w:p w14:paraId="7857103F" w14:textId="77777777" w:rsidR="00086021" w:rsidRDefault="00086021"/>
    <w:p w14:paraId="3F173BFF" w14:textId="77777777" w:rsidR="00086021" w:rsidRDefault="00086021"/>
    <w:tbl>
      <w:tblPr>
        <w:tblW w:w="4656" w:type="dxa"/>
        <w:tblInd w:w="108" w:type="dxa"/>
        <w:tblLook w:val="04A0" w:firstRow="1" w:lastRow="0" w:firstColumn="1" w:lastColumn="0" w:noHBand="0" w:noVBand="1"/>
      </w:tblPr>
      <w:tblGrid>
        <w:gridCol w:w="3548"/>
        <w:gridCol w:w="1108"/>
      </w:tblGrid>
      <w:tr w:rsidR="00086021" w14:paraId="0471954E" w14:textId="77777777">
        <w:trPr>
          <w:trHeight w:val="290"/>
        </w:trPr>
        <w:tc>
          <w:tcPr>
            <w:tcW w:w="3548" w:type="dxa"/>
            <w:tcBorders>
              <w:top w:val="single" w:sz="4" w:space="0" w:color="297FD5"/>
              <w:left w:val="single" w:sz="4" w:space="0" w:color="297FD5"/>
              <w:bottom w:val="single" w:sz="4" w:space="0" w:color="297FD5"/>
              <w:right w:val="single" w:sz="4" w:space="0" w:color="297FD5"/>
            </w:tcBorders>
            <w:shd w:val="clear" w:color="auto" w:fill="C9211E"/>
          </w:tcPr>
          <w:p w14:paraId="796569E5" w14:textId="77777777" w:rsidR="00086021" w:rsidRDefault="009E19AB">
            <w:pPr>
              <w:pStyle w:val="TableContents"/>
              <w:rPr>
                <w:color w:val="FEFEFE"/>
                <w:szCs w:val="18"/>
              </w:rPr>
            </w:pPr>
            <w:r>
              <w:rPr>
                <w:color w:val="FEFEFE"/>
                <w:szCs w:val="18"/>
              </w:rPr>
              <w:t>Respondent</w:t>
            </w:r>
          </w:p>
        </w:tc>
        <w:tc>
          <w:tcPr>
            <w:tcW w:w="1108" w:type="dxa"/>
            <w:tcBorders>
              <w:top w:val="single" w:sz="4" w:space="0" w:color="297FD5"/>
              <w:left w:val="single" w:sz="4" w:space="0" w:color="297FD5"/>
              <w:bottom w:val="single" w:sz="4" w:space="0" w:color="297FD5"/>
              <w:right w:val="single" w:sz="4" w:space="0" w:color="297FD5"/>
            </w:tcBorders>
            <w:shd w:val="clear" w:color="auto" w:fill="C9211E"/>
          </w:tcPr>
          <w:p w14:paraId="429C623D" w14:textId="77777777" w:rsidR="00086021" w:rsidRDefault="009E19AB">
            <w:pPr>
              <w:pStyle w:val="TableContents"/>
              <w:rPr>
                <w:color w:val="FEFEFE"/>
                <w:szCs w:val="18"/>
              </w:rPr>
            </w:pPr>
            <w:r>
              <w:rPr>
                <w:color w:val="FEFEFE"/>
                <w:szCs w:val="18"/>
              </w:rPr>
              <w:t>Number</w:t>
            </w:r>
          </w:p>
        </w:tc>
      </w:tr>
      <w:tr w:rsidR="00086021" w14:paraId="7C69EC4C" w14:textId="77777777">
        <w:trPr>
          <w:trHeight w:val="290"/>
        </w:trPr>
        <w:tc>
          <w:tcPr>
            <w:tcW w:w="3548" w:type="dxa"/>
            <w:tcBorders>
              <w:top w:val="single" w:sz="4" w:space="0" w:color="7EB1E6"/>
              <w:left w:val="single" w:sz="4" w:space="0" w:color="7EB1E6"/>
              <w:bottom w:val="single" w:sz="4" w:space="0" w:color="7EB1E6"/>
              <w:right w:val="single" w:sz="4" w:space="0" w:color="7EB1E6"/>
            </w:tcBorders>
            <w:shd w:val="clear" w:color="auto" w:fill="8ACC8E"/>
          </w:tcPr>
          <w:p w14:paraId="14798E55" w14:textId="77777777" w:rsidR="00086021" w:rsidRDefault="009E19AB">
            <w:pPr>
              <w:pStyle w:val="TableContents"/>
              <w:rPr>
                <w:szCs w:val="18"/>
              </w:rPr>
            </w:pPr>
            <w:r>
              <w:rPr>
                <w:rFonts w:eastAsia="Times New Roman" w:cs="Calibri"/>
                <w:szCs w:val="18"/>
              </w:rPr>
              <w:t>Council of Governors’ Representative</w:t>
            </w:r>
          </w:p>
        </w:tc>
        <w:tc>
          <w:tcPr>
            <w:tcW w:w="1108" w:type="dxa"/>
            <w:tcBorders>
              <w:top w:val="single" w:sz="4" w:space="0" w:color="7EB1E6"/>
              <w:left w:val="single" w:sz="4" w:space="0" w:color="7EB1E6"/>
              <w:bottom w:val="single" w:sz="4" w:space="0" w:color="7EB1E6"/>
              <w:right w:val="single" w:sz="4" w:space="0" w:color="7EB1E6"/>
            </w:tcBorders>
            <w:shd w:val="clear" w:color="auto" w:fill="8ACC8E"/>
          </w:tcPr>
          <w:p w14:paraId="165600D0" w14:textId="77777777" w:rsidR="00086021" w:rsidRDefault="009E19AB">
            <w:pPr>
              <w:pStyle w:val="TableContents"/>
              <w:rPr>
                <w:szCs w:val="18"/>
              </w:rPr>
            </w:pPr>
            <w:r>
              <w:rPr>
                <w:szCs w:val="18"/>
              </w:rPr>
              <w:t>1</w:t>
            </w:r>
          </w:p>
        </w:tc>
      </w:tr>
      <w:tr w:rsidR="00086021" w14:paraId="0F82BA8F" w14:textId="77777777">
        <w:trPr>
          <w:trHeight w:val="290"/>
        </w:trPr>
        <w:tc>
          <w:tcPr>
            <w:tcW w:w="3548" w:type="dxa"/>
            <w:tcBorders>
              <w:top w:val="single" w:sz="4" w:space="0" w:color="7EB1E6"/>
              <w:left w:val="single" w:sz="4" w:space="0" w:color="7EB1E6"/>
              <w:bottom w:val="single" w:sz="4" w:space="0" w:color="7EB1E6"/>
              <w:right w:val="single" w:sz="4" w:space="0" w:color="7EB1E6"/>
            </w:tcBorders>
          </w:tcPr>
          <w:p w14:paraId="069B1D6B" w14:textId="77777777" w:rsidR="00086021" w:rsidRDefault="009E19AB">
            <w:pPr>
              <w:pStyle w:val="TableContents"/>
              <w:rPr>
                <w:szCs w:val="18"/>
              </w:rPr>
            </w:pPr>
            <w:r>
              <w:rPr>
                <w:szCs w:val="18"/>
              </w:rPr>
              <w:t>County AIDS and STI Coordinators</w:t>
            </w:r>
          </w:p>
        </w:tc>
        <w:tc>
          <w:tcPr>
            <w:tcW w:w="1108" w:type="dxa"/>
            <w:tcBorders>
              <w:top w:val="single" w:sz="4" w:space="0" w:color="7EB1E6"/>
              <w:left w:val="single" w:sz="4" w:space="0" w:color="7EB1E6"/>
              <w:bottom w:val="single" w:sz="4" w:space="0" w:color="7EB1E6"/>
              <w:right w:val="single" w:sz="4" w:space="0" w:color="7EB1E6"/>
            </w:tcBorders>
          </w:tcPr>
          <w:p w14:paraId="07C44474" w14:textId="77777777" w:rsidR="00086021" w:rsidRDefault="009E19AB">
            <w:pPr>
              <w:pStyle w:val="TableContents"/>
              <w:rPr>
                <w:szCs w:val="18"/>
              </w:rPr>
            </w:pPr>
            <w:r>
              <w:rPr>
                <w:szCs w:val="18"/>
              </w:rPr>
              <w:t>2</w:t>
            </w:r>
          </w:p>
        </w:tc>
      </w:tr>
      <w:tr w:rsidR="00086021" w14:paraId="4F8DA2EE" w14:textId="77777777">
        <w:trPr>
          <w:trHeight w:val="290"/>
        </w:trPr>
        <w:tc>
          <w:tcPr>
            <w:tcW w:w="3548" w:type="dxa"/>
            <w:tcBorders>
              <w:top w:val="single" w:sz="4" w:space="0" w:color="7EB1E6"/>
              <w:left w:val="single" w:sz="4" w:space="0" w:color="7EB1E6"/>
              <w:bottom w:val="single" w:sz="4" w:space="0" w:color="7EB1E6"/>
              <w:right w:val="single" w:sz="4" w:space="0" w:color="7EB1E6"/>
            </w:tcBorders>
            <w:shd w:val="clear" w:color="auto" w:fill="8ACC8E"/>
          </w:tcPr>
          <w:p w14:paraId="253BBE11" w14:textId="77777777" w:rsidR="00086021" w:rsidRDefault="009E19AB">
            <w:pPr>
              <w:pStyle w:val="TableContents"/>
              <w:rPr>
                <w:szCs w:val="18"/>
              </w:rPr>
            </w:pPr>
            <w:r>
              <w:rPr>
                <w:szCs w:val="18"/>
              </w:rPr>
              <w:t>County Executive Member for Health</w:t>
            </w:r>
          </w:p>
        </w:tc>
        <w:tc>
          <w:tcPr>
            <w:tcW w:w="1108" w:type="dxa"/>
            <w:tcBorders>
              <w:top w:val="single" w:sz="4" w:space="0" w:color="7EB1E6"/>
              <w:left w:val="single" w:sz="4" w:space="0" w:color="7EB1E6"/>
              <w:bottom w:val="single" w:sz="4" w:space="0" w:color="7EB1E6"/>
              <w:right w:val="single" w:sz="4" w:space="0" w:color="7EB1E6"/>
            </w:tcBorders>
            <w:shd w:val="clear" w:color="auto" w:fill="8ACC8E"/>
          </w:tcPr>
          <w:p w14:paraId="7FF75BE7" w14:textId="77777777" w:rsidR="00086021" w:rsidRDefault="009E19AB">
            <w:pPr>
              <w:pStyle w:val="TableContents"/>
              <w:rPr>
                <w:szCs w:val="18"/>
              </w:rPr>
            </w:pPr>
            <w:r>
              <w:rPr>
                <w:szCs w:val="18"/>
              </w:rPr>
              <w:t>1</w:t>
            </w:r>
          </w:p>
        </w:tc>
      </w:tr>
      <w:tr w:rsidR="00086021" w14:paraId="657AA385" w14:textId="77777777">
        <w:trPr>
          <w:trHeight w:val="290"/>
        </w:trPr>
        <w:tc>
          <w:tcPr>
            <w:tcW w:w="3548" w:type="dxa"/>
            <w:tcBorders>
              <w:top w:val="single" w:sz="4" w:space="0" w:color="7EB1E6"/>
              <w:left w:val="single" w:sz="4" w:space="0" w:color="7EB1E6"/>
              <w:bottom w:val="single" w:sz="4" w:space="0" w:color="7EB1E6"/>
              <w:right w:val="single" w:sz="4" w:space="0" w:color="7EB1E6"/>
            </w:tcBorders>
          </w:tcPr>
          <w:p w14:paraId="07B0619A" w14:textId="77777777" w:rsidR="00086021" w:rsidRDefault="009E19AB">
            <w:pPr>
              <w:pStyle w:val="TableContents"/>
              <w:rPr>
                <w:szCs w:val="18"/>
              </w:rPr>
            </w:pPr>
            <w:r>
              <w:rPr>
                <w:szCs w:val="18"/>
              </w:rPr>
              <w:t>County Director of Health</w:t>
            </w:r>
          </w:p>
        </w:tc>
        <w:tc>
          <w:tcPr>
            <w:tcW w:w="1108" w:type="dxa"/>
            <w:tcBorders>
              <w:top w:val="single" w:sz="4" w:space="0" w:color="7EB1E6"/>
              <w:left w:val="single" w:sz="4" w:space="0" w:color="7EB1E6"/>
              <w:bottom w:val="single" w:sz="4" w:space="0" w:color="7EB1E6"/>
              <w:right w:val="single" w:sz="4" w:space="0" w:color="7EB1E6"/>
            </w:tcBorders>
          </w:tcPr>
          <w:p w14:paraId="149CFBF5" w14:textId="77777777" w:rsidR="00086021" w:rsidRDefault="009E19AB">
            <w:pPr>
              <w:pStyle w:val="TableContents"/>
              <w:rPr>
                <w:szCs w:val="18"/>
              </w:rPr>
            </w:pPr>
            <w:r>
              <w:rPr>
                <w:szCs w:val="18"/>
              </w:rPr>
              <w:t>2</w:t>
            </w:r>
          </w:p>
        </w:tc>
      </w:tr>
      <w:tr w:rsidR="00086021" w14:paraId="17CD4E2D" w14:textId="77777777">
        <w:trPr>
          <w:trHeight w:val="290"/>
        </w:trPr>
        <w:tc>
          <w:tcPr>
            <w:tcW w:w="3548" w:type="dxa"/>
            <w:tcBorders>
              <w:top w:val="single" w:sz="4" w:space="0" w:color="7EB1E6"/>
              <w:left w:val="single" w:sz="4" w:space="0" w:color="7EB1E6"/>
              <w:bottom w:val="single" w:sz="4" w:space="0" w:color="7EB1E6"/>
              <w:right w:val="single" w:sz="4" w:space="0" w:color="7EB1E6"/>
            </w:tcBorders>
            <w:shd w:val="clear" w:color="auto" w:fill="8ACC8E"/>
          </w:tcPr>
          <w:p w14:paraId="2CE00407" w14:textId="77777777" w:rsidR="00086021" w:rsidRDefault="009E19AB">
            <w:pPr>
              <w:pStyle w:val="TableContents"/>
              <w:rPr>
                <w:szCs w:val="18"/>
              </w:rPr>
            </w:pPr>
            <w:r>
              <w:rPr>
                <w:szCs w:val="18"/>
              </w:rPr>
              <w:t>Implementing Partners</w:t>
            </w:r>
          </w:p>
        </w:tc>
        <w:tc>
          <w:tcPr>
            <w:tcW w:w="1108" w:type="dxa"/>
            <w:tcBorders>
              <w:top w:val="single" w:sz="4" w:space="0" w:color="7EB1E6"/>
              <w:left w:val="single" w:sz="4" w:space="0" w:color="7EB1E6"/>
              <w:bottom w:val="single" w:sz="4" w:space="0" w:color="7EB1E6"/>
              <w:right w:val="single" w:sz="4" w:space="0" w:color="7EB1E6"/>
            </w:tcBorders>
            <w:shd w:val="clear" w:color="auto" w:fill="8ACC8E"/>
          </w:tcPr>
          <w:p w14:paraId="29074ACC" w14:textId="77777777" w:rsidR="00086021" w:rsidRDefault="009E19AB">
            <w:pPr>
              <w:pStyle w:val="TableContents"/>
              <w:rPr>
                <w:szCs w:val="18"/>
              </w:rPr>
            </w:pPr>
            <w:r>
              <w:rPr>
                <w:szCs w:val="18"/>
              </w:rPr>
              <w:t>5</w:t>
            </w:r>
          </w:p>
        </w:tc>
      </w:tr>
      <w:tr w:rsidR="00086021" w14:paraId="5F4389F4" w14:textId="77777777">
        <w:trPr>
          <w:trHeight w:val="290"/>
        </w:trPr>
        <w:tc>
          <w:tcPr>
            <w:tcW w:w="3548" w:type="dxa"/>
            <w:tcBorders>
              <w:top w:val="single" w:sz="4" w:space="0" w:color="7EB1E6"/>
              <w:left w:val="single" w:sz="4" w:space="0" w:color="7EB1E6"/>
              <w:bottom w:val="single" w:sz="4" w:space="0" w:color="7EB1E6"/>
              <w:right w:val="single" w:sz="4" w:space="0" w:color="7EB1E6"/>
            </w:tcBorders>
          </w:tcPr>
          <w:p w14:paraId="3A3CD490" w14:textId="77777777" w:rsidR="00086021" w:rsidRDefault="009E19AB">
            <w:pPr>
              <w:pStyle w:val="TableContents"/>
              <w:rPr>
                <w:szCs w:val="18"/>
              </w:rPr>
            </w:pPr>
            <w:r>
              <w:rPr>
                <w:szCs w:val="18"/>
              </w:rPr>
              <w:t>Donor Agencies</w:t>
            </w:r>
          </w:p>
        </w:tc>
        <w:tc>
          <w:tcPr>
            <w:tcW w:w="1108" w:type="dxa"/>
            <w:tcBorders>
              <w:top w:val="single" w:sz="4" w:space="0" w:color="7EB1E6"/>
              <w:left w:val="single" w:sz="4" w:space="0" w:color="7EB1E6"/>
              <w:bottom w:val="single" w:sz="4" w:space="0" w:color="7EB1E6"/>
              <w:right w:val="single" w:sz="4" w:space="0" w:color="7EB1E6"/>
            </w:tcBorders>
          </w:tcPr>
          <w:p w14:paraId="4AB36557" w14:textId="77777777" w:rsidR="00086021" w:rsidRDefault="009E19AB">
            <w:pPr>
              <w:pStyle w:val="TableContents"/>
              <w:rPr>
                <w:szCs w:val="18"/>
              </w:rPr>
            </w:pPr>
            <w:r>
              <w:rPr>
                <w:szCs w:val="18"/>
              </w:rPr>
              <w:t>3</w:t>
            </w:r>
          </w:p>
        </w:tc>
      </w:tr>
      <w:tr w:rsidR="00086021" w14:paraId="62B25570" w14:textId="77777777">
        <w:trPr>
          <w:trHeight w:val="290"/>
        </w:trPr>
        <w:tc>
          <w:tcPr>
            <w:tcW w:w="3548" w:type="dxa"/>
            <w:tcBorders>
              <w:top w:val="single" w:sz="4" w:space="0" w:color="7EB1E6"/>
              <w:left w:val="single" w:sz="4" w:space="0" w:color="7EB1E6"/>
              <w:bottom w:val="single" w:sz="4" w:space="0" w:color="7EB1E6"/>
              <w:right w:val="single" w:sz="4" w:space="0" w:color="7EB1E6"/>
            </w:tcBorders>
            <w:shd w:val="clear" w:color="auto" w:fill="8ACC8E"/>
          </w:tcPr>
          <w:p w14:paraId="3D103D31" w14:textId="77777777" w:rsidR="00086021" w:rsidRDefault="009E19AB">
            <w:pPr>
              <w:pStyle w:val="TableContents"/>
              <w:rPr>
                <w:szCs w:val="18"/>
              </w:rPr>
            </w:pPr>
            <w:r>
              <w:rPr>
                <w:szCs w:val="18"/>
              </w:rPr>
              <w:t>CSO Representatives</w:t>
            </w:r>
          </w:p>
        </w:tc>
        <w:tc>
          <w:tcPr>
            <w:tcW w:w="1108" w:type="dxa"/>
            <w:tcBorders>
              <w:top w:val="single" w:sz="4" w:space="0" w:color="7EB1E6"/>
              <w:left w:val="single" w:sz="4" w:space="0" w:color="7EB1E6"/>
              <w:bottom w:val="single" w:sz="4" w:space="0" w:color="7EB1E6"/>
              <w:right w:val="single" w:sz="4" w:space="0" w:color="7EB1E6"/>
            </w:tcBorders>
            <w:shd w:val="clear" w:color="auto" w:fill="8ACC8E"/>
          </w:tcPr>
          <w:p w14:paraId="33085BB1" w14:textId="77777777" w:rsidR="00086021" w:rsidRDefault="009E19AB">
            <w:pPr>
              <w:pStyle w:val="TableContents"/>
              <w:rPr>
                <w:szCs w:val="18"/>
              </w:rPr>
            </w:pPr>
            <w:r>
              <w:rPr>
                <w:szCs w:val="18"/>
              </w:rPr>
              <w:t>4</w:t>
            </w:r>
          </w:p>
        </w:tc>
      </w:tr>
      <w:tr w:rsidR="00086021" w14:paraId="09EA11E8" w14:textId="77777777">
        <w:trPr>
          <w:trHeight w:val="290"/>
        </w:trPr>
        <w:tc>
          <w:tcPr>
            <w:tcW w:w="3548" w:type="dxa"/>
            <w:tcBorders>
              <w:top w:val="single" w:sz="4" w:space="0" w:color="7EB1E6"/>
              <w:left w:val="single" w:sz="4" w:space="0" w:color="7EB1E6"/>
              <w:bottom w:val="single" w:sz="4" w:space="0" w:color="7EB1E6"/>
              <w:right w:val="single" w:sz="4" w:space="0" w:color="7EB1E6"/>
            </w:tcBorders>
          </w:tcPr>
          <w:p w14:paraId="6E84961B" w14:textId="77777777" w:rsidR="00086021" w:rsidRDefault="009E19AB">
            <w:pPr>
              <w:pStyle w:val="TableContents"/>
              <w:rPr>
                <w:szCs w:val="18"/>
              </w:rPr>
            </w:pPr>
            <w:r>
              <w:rPr>
                <w:szCs w:val="18"/>
              </w:rPr>
              <w:t>Healthcare Providers</w:t>
            </w:r>
          </w:p>
        </w:tc>
        <w:tc>
          <w:tcPr>
            <w:tcW w:w="1108" w:type="dxa"/>
            <w:tcBorders>
              <w:top w:val="single" w:sz="4" w:space="0" w:color="7EB1E6"/>
              <w:left w:val="single" w:sz="4" w:space="0" w:color="7EB1E6"/>
              <w:bottom w:val="single" w:sz="4" w:space="0" w:color="7EB1E6"/>
              <w:right w:val="single" w:sz="4" w:space="0" w:color="7EB1E6"/>
            </w:tcBorders>
          </w:tcPr>
          <w:p w14:paraId="6F7F83A4" w14:textId="77777777" w:rsidR="00086021" w:rsidRDefault="009E19AB">
            <w:pPr>
              <w:pStyle w:val="TableContents"/>
              <w:rPr>
                <w:szCs w:val="18"/>
              </w:rPr>
            </w:pPr>
            <w:r>
              <w:rPr>
                <w:szCs w:val="18"/>
              </w:rPr>
              <w:t>3</w:t>
            </w:r>
          </w:p>
        </w:tc>
      </w:tr>
    </w:tbl>
    <w:p w14:paraId="73BDB756" w14:textId="77777777" w:rsidR="00086021" w:rsidRDefault="00086021"/>
    <w:p w14:paraId="502F5813" w14:textId="77777777" w:rsidR="00086021" w:rsidRDefault="00086021"/>
    <w:p w14:paraId="4352B83B" w14:textId="77777777" w:rsidR="00086021" w:rsidRDefault="00086021"/>
    <w:p w14:paraId="5772756A" w14:textId="77777777" w:rsidR="00086021" w:rsidRDefault="00086021"/>
    <w:p w14:paraId="04780988" w14:textId="77777777" w:rsidR="00086021" w:rsidRDefault="00086021"/>
    <w:p w14:paraId="0C12491A" w14:textId="77777777" w:rsidR="00086021" w:rsidRDefault="00086021"/>
    <w:p w14:paraId="348B21BE" w14:textId="77777777" w:rsidR="00086021" w:rsidRDefault="00086021"/>
    <w:p w14:paraId="589A51CF" w14:textId="77777777" w:rsidR="00086021" w:rsidRDefault="00086021"/>
    <w:p w14:paraId="33415F98" w14:textId="77777777" w:rsidR="00086021" w:rsidRDefault="00086021"/>
    <w:p w14:paraId="6DFD2B8C" w14:textId="77777777" w:rsidR="00086021" w:rsidRDefault="00086021"/>
    <w:p w14:paraId="247C9831" w14:textId="77777777" w:rsidR="00086021" w:rsidRDefault="00086021"/>
    <w:p w14:paraId="5AE74CDE" w14:textId="77777777" w:rsidR="00086021" w:rsidRDefault="00086021"/>
    <w:p w14:paraId="767CBBE8" w14:textId="77777777" w:rsidR="00086021" w:rsidRDefault="00086021"/>
    <w:p w14:paraId="2A41BCA0" w14:textId="77777777" w:rsidR="00086021" w:rsidRDefault="009E19AB">
      <w:r>
        <w:br w:type="page"/>
      </w:r>
    </w:p>
    <w:p w14:paraId="36EE1E04" w14:textId="77777777" w:rsidR="00086021" w:rsidRDefault="009E19AB">
      <w:pPr>
        <w:pStyle w:val="Heading3"/>
      </w:pPr>
      <w:r>
        <w:lastRenderedPageBreak/>
        <w:t>Annex 11: Key Organizations for CSO Operations in Kenya</w:t>
      </w:r>
    </w:p>
    <w:p w14:paraId="68025BC3" w14:textId="77777777" w:rsidR="00086021" w:rsidRDefault="00086021"/>
    <w:tbl>
      <w:tblPr>
        <w:tblW w:w="9015" w:type="dxa"/>
        <w:tblInd w:w="108" w:type="dxa"/>
        <w:tblLook w:val="04A0" w:firstRow="1" w:lastRow="0" w:firstColumn="1" w:lastColumn="0" w:noHBand="0" w:noVBand="1"/>
      </w:tblPr>
      <w:tblGrid>
        <w:gridCol w:w="2335"/>
        <w:gridCol w:w="3174"/>
        <w:gridCol w:w="3506"/>
      </w:tblGrid>
      <w:tr w:rsidR="00086021" w14:paraId="2DC8251B" w14:textId="77777777">
        <w:tc>
          <w:tcPr>
            <w:tcW w:w="2335" w:type="dxa"/>
            <w:tcBorders>
              <w:top w:val="single" w:sz="4" w:space="0" w:color="297FD5"/>
              <w:left w:val="single" w:sz="4" w:space="0" w:color="297FD5"/>
              <w:bottom w:val="single" w:sz="4" w:space="0" w:color="297FD5"/>
              <w:right w:val="single" w:sz="4" w:space="0" w:color="297FD5"/>
            </w:tcBorders>
            <w:shd w:val="clear" w:color="auto" w:fill="C9211E"/>
          </w:tcPr>
          <w:p w14:paraId="3D873FA7" w14:textId="77777777" w:rsidR="00086021" w:rsidRDefault="009E19AB">
            <w:pPr>
              <w:pStyle w:val="TableContents"/>
            </w:pPr>
            <w:r>
              <w:rPr>
                <w:rStyle w:val="Strong"/>
                <w:color w:val="FEFEFE"/>
                <w:szCs w:val="18"/>
              </w:rPr>
              <w:t>Which institutions can offer more information?</w:t>
            </w:r>
          </w:p>
        </w:tc>
        <w:tc>
          <w:tcPr>
            <w:tcW w:w="3174" w:type="dxa"/>
            <w:tcBorders>
              <w:top w:val="single" w:sz="4" w:space="0" w:color="297FD5"/>
              <w:left w:val="single" w:sz="4" w:space="0" w:color="297FD5"/>
              <w:bottom w:val="single" w:sz="4" w:space="0" w:color="297FD5"/>
              <w:right w:val="single" w:sz="4" w:space="0" w:color="297FD5"/>
            </w:tcBorders>
            <w:shd w:val="clear" w:color="auto" w:fill="C9211E"/>
          </w:tcPr>
          <w:p w14:paraId="08A1AE28" w14:textId="77777777" w:rsidR="00086021" w:rsidRDefault="009E19AB">
            <w:pPr>
              <w:pStyle w:val="TableContents"/>
            </w:pPr>
            <w:r>
              <w:rPr>
                <w:rStyle w:val="Strong"/>
                <w:color w:val="FEFEFE"/>
                <w:szCs w:val="18"/>
              </w:rPr>
              <w:t>What the Institution offers PBOs</w:t>
            </w:r>
          </w:p>
        </w:tc>
        <w:tc>
          <w:tcPr>
            <w:tcW w:w="3506" w:type="dxa"/>
            <w:tcBorders>
              <w:top w:val="single" w:sz="4" w:space="0" w:color="297FD5"/>
              <w:left w:val="single" w:sz="4" w:space="0" w:color="297FD5"/>
              <w:bottom w:val="single" w:sz="4" w:space="0" w:color="297FD5"/>
              <w:right w:val="single" w:sz="4" w:space="0" w:color="297FD5"/>
            </w:tcBorders>
            <w:shd w:val="clear" w:color="auto" w:fill="C9211E"/>
          </w:tcPr>
          <w:p w14:paraId="3DA2E8C2" w14:textId="77777777" w:rsidR="00086021" w:rsidRDefault="009E19AB">
            <w:pPr>
              <w:pStyle w:val="TableContents"/>
            </w:pPr>
            <w:r>
              <w:rPr>
                <w:rStyle w:val="Strong"/>
                <w:color w:val="FEFEFE"/>
                <w:szCs w:val="18"/>
              </w:rPr>
              <w:t>Visiting address &amp; contact</w:t>
            </w:r>
          </w:p>
        </w:tc>
      </w:tr>
      <w:tr w:rsidR="00086021" w14:paraId="69FBF0B3" w14:textId="77777777">
        <w:tc>
          <w:tcPr>
            <w:tcW w:w="2335" w:type="dxa"/>
            <w:tcBorders>
              <w:top w:val="single" w:sz="4" w:space="0" w:color="7EB1E6"/>
              <w:left w:val="single" w:sz="4" w:space="0" w:color="7EB1E6"/>
              <w:bottom w:val="single" w:sz="4" w:space="0" w:color="7EB1E6"/>
              <w:right w:val="single" w:sz="4" w:space="0" w:color="7EB1E6"/>
            </w:tcBorders>
            <w:shd w:val="clear" w:color="auto" w:fill="8ACC8E"/>
          </w:tcPr>
          <w:p w14:paraId="72445359" w14:textId="77777777" w:rsidR="00086021" w:rsidRDefault="009E19AB">
            <w:pPr>
              <w:pStyle w:val="TableContents"/>
            </w:pPr>
            <w:r>
              <w:rPr>
                <w:rStyle w:val="Strong"/>
                <w:sz w:val="16"/>
                <w:szCs w:val="16"/>
              </w:rPr>
              <w:t>NGO Co-ordination Board</w:t>
            </w:r>
          </w:p>
        </w:tc>
        <w:tc>
          <w:tcPr>
            <w:tcW w:w="3174" w:type="dxa"/>
            <w:tcBorders>
              <w:top w:val="single" w:sz="4" w:space="0" w:color="7EB1E6"/>
              <w:left w:val="single" w:sz="4" w:space="0" w:color="7EB1E6"/>
              <w:bottom w:val="single" w:sz="4" w:space="0" w:color="7EB1E6"/>
              <w:right w:val="single" w:sz="4" w:space="0" w:color="7EB1E6"/>
            </w:tcBorders>
            <w:shd w:val="clear" w:color="auto" w:fill="8ACC8E"/>
          </w:tcPr>
          <w:p w14:paraId="423E75AB" w14:textId="77777777" w:rsidR="00086021" w:rsidRDefault="009E19AB">
            <w:pPr>
              <w:pStyle w:val="TableContents"/>
              <w:numPr>
                <w:ilvl w:val="0"/>
                <w:numId w:val="11"/>
              </w:numPr>
              <w:rPr>
                <w:sz w:val="16"/>
                <w:szCs w:val="16"/>
              </w:rPr>
            </w:pPr>
            <w:r>
              <w:rPr>
                <w:sz w:val="16"/>
                <w:szCs w:val="16"/>
              </w:rPr>
              <w:t>Register, coordinate and facilitate the work of national and international NGOs operating in Kenya</w:t>
            </w:r>
          </w:p>
          <w:p w14:paraId="7134F02B" w14:textId="77777777" w:rsidR="00086021" w:rsidRDefault="009E19AB">
            <w:pPr>
              <w:pStyle w:val="TableContents"/>
              <w:numPr>
                <w:ilvl w:val="0"/>
                <w:numId w:val="11"/>
              </w:numPr>
              <w:rPr>
                <w:sz w:val="16"/>
                <w:szCs w:val="16"/>
              </w:rPr>
            </w:pPr>
            <w:r>
              <w:rPr>
                <w:sz w:val="16"/>
                <w:szCs w:val="16"/>
              </w:rPr>
              <w:t xml:space="preserve">Maintain a register of national and international NGOs operating in Kenya, with their precise sectors, </w:t>
            </w:r>
            <w:proofErr w:type="gramStart"/>
            <w:r>
              <w:rPr>
                <w:sz w:val="16"/>
                <w:szCs w:val="16"/>
              </w:rPr>
              <w:t>affiliations</w:t>
            </w:r>
            <w:proofErr w:type="gramEnd"/>
            <w:r>
              <w:rPr>
                <w:sz w:val="16"/>
                <w:szCs w:val="16"/>
              </w:rPr>
              <w:t xml:space="preserve"> and location of their activities</w:t>
            </w:r>
          </w:p>
          <w:p w14:paraId="16EE93AA" w14:textId="77777777" w:rsidR="00086021" w:rsidRDefault="009E19AB">
            <w:pPr>
              <w:pStyle w:val="TableContents"/>
              <w:numPr>
                <w:ilvl w:val="0"/>
                <w:numId w:val="11"/>
              </w:numPr>
              <w:rPr>
                <w:sz w:val="16"/>
                <w:szCs w:val="16"/>
              </w:rPr>
            </w:pPr>
            <w:r>
              <w:rPr>
                <w:sz w:val="16"/>
                <w:szCs w:val="16"/>
              </w:rPr>
              <w:t>Receive, analyse and evaluate the annual reports of NGOs</w:t>
            </w:r>
          </w:p>
          <w:p w14:paraId="59A3A5EA" w14:textId="77777777" w:rsidR="00086021" w:rsidRDefault="009E19AB">
            <w:pPr>
              <w:pStyle w:val="TableContents"/>
              <w:numPr>
                <w:ilvl w:val="0"/>
                <w:numId w:val="11"/>
              </w:numPr>
              <w:rPr>
                <w:sz w:val="16"/>
                <w:szCs w:val="16"/>
              </w:rPr>
            </w:pPr>
            <w:r>
              <w:rPr>
                <w:sz w:val="16"/>
                <w:szCs w:val="16"/>
              </w:rPr>
              <w:t>Advise the Government on the activities of NGOs and their role in development within Kenya</w:t>
            </w:r>
          </w:p>
        </w:tc>
        <w:tc>
          <w:tcPr>
            <w:tcW w:w="3506" w:type="dxa"/>
            <w:tcBorders>
              <w:top w:val="single" w:sz="4" w:space="0" w:color="7EB1E6"/>
              <w:left w:val="single" w:sz="4" w:space="0" w:color="7EB1E6"/>
              <w:bottom w:val="single" w:sz="4" w:space="0" w:color="7EB1E6"/>
              <w:right w:val="single" w:sz="4" w:space="0" w:color="7EB1E6"/>
            </w:tcBorders>
            <w:shd w:val="clear" w:color="auto" w:fill="8ACC8E"/>
          </w:tcPr>
          <w:p w14:paraId="7620F4F2" w14:textId="77777777" w:rsidR="00086021" w:rsidRDefault="009E19AB">
            <w:pPr>
              <w:pStyle w:val="TableContents"/>
              <w:rPr>
                <w:sz w:val="16"/>
                <w:szCs w:val="16"/>
              </w:rPr>
            </w:pPr>
            <w:r>
              <w:rPr>
                <w:sz w:val="16"/>
                <w:szCs w:val="16"/>
              </w:rPr>
              <w:t xml:space="preserve">Co-op Bank House, 15th Floor, Haile Selassie Avenue </w:t>
            </w:r>
          </w:p>
          <w:p w14:paraId="6961DA2D" w14:textId="77777777" w:rsidR="00086021" w:rsidRDefault="009E19AB">
            <w:pPr>
              <w:pStyle w:val="TableContents"/>
            </w:pPr>
            <w:r>
              <w:rPr>
                <w:sz w:val="16"/>
                <w:szCs w:val="16"/>
              </w:rPr>
              <w:t>P.O. Box 44617-00100,</w:t>
            </w:r>
            <w:r>
              <w:rPr>
                <w:sz w:val="16"/>
                <w:szCs w:val="16"/>
              </w:rPr>
              <w:br/>
              <w:t>Nairobi, Kenya</w:t>
            </w:r>
            <w:r>
              <w:rPr>
                <w:sz w:val="16"/>
                <w:szCs w:val="16"/>
              </w:rPr>
              <w:br/>
              <w:t>Tel: +254-20-2213938/ 4044/4231/4487/4813/4821 Fax: +254-20-2214801</w:t>
            </w:r>
            <w:r>
              <w:rPr>
                <w:sz w:val="16"/>
                <w:szCs w:val="16"/>
              </w:rPr>
              <w:br/>
              <w:t>Email: </w:t>
            </w:r>
            <w:hyperlink r:id="rId74">
              <w:r>
                <w:rPr>
                  <w:rStyle w:val="Hyperlink"/>
                </w:rPr>
                <w:t>info@ngobureau.or.ke</w:t>
              </w:r>
            </w:hyperlink>
            <w:r>
              <w:rPr>
                <w:sz w:val="16"/>
                <w:szCs w:val="16"/>
              </w:rPr>
              <w:br/>
              <w:t>Website: </w:t>
            </w:r>
            <w:hyperlink r:id="rId75" w:tgtFrame="_blank">
              <w:r>
                <w:rPr>
                  <w:rStyle w:val="Hyperlink"/>
                </w:rPr>
                <w:t>www.ngobureau.or.ke</w:t>
              </w:r>
            </w:hyperlink>
          </w:p>
        </w:tc>
      </w:tr>
      <w:tr w:rsidR="00086021" w14:paraId="222E270D" w14:textId="77777777">
        <w:tc>
          <w:tcPr>
            <w:tcW w:w="2335" w:type="dxa"/>
            <w:tcBorders>
              <w:top w:val="single" w:sz="4" w:space="0" w:color="7EB1E6"/>
              <w:left w:val="single" w:sz="4" w:space="0" w:color="7EB1E6"/>
              <w:bottom w:val="single" w:sz="4" w:space="0" w:color="7EB1E6"/>
              <w:right w:val="single" w:sz="4" w:space="0" w:color="7EB1E6"/>
            </w:tcBorders>
          </w:tcPr>
          <w:p w14:paraId="014DE2A4" w14:textId="77777777" w:rsidR="00086021" w:rsidRDefault="009E19AB">
            <w:pPr>
              <w:pStyle w:val="TableContents"/>
            </w:pPr>
            <w:r>
              <w:rPr>
                <w:rStyle w:val="Strong"/>
                <w:sz w:val="16"/>
                <w:szCs w:val="16"/>
              </w:rPr>
              <w:t>Kenya Council of NGOs</w:t>
            </w:r>
          </w:p>
        </w:tc>
        <w:tc>
          <w:tcPr>
            <w:tcW w:w="3174" w:type="dxa"/>
            <w:tcBorders>
              <w:top w:val="single" w:sz="4" w:space="0" w:color="7EB1E6"/>
              <w:left w:val="single" w:sz="4" w:space="0" w:color="7EB1E6"/>
              <w:bottom w:val="single" w:sz="4" w:space="0" w:color="7EB1E6"/>
              <w:right w:val="single" w:sz="4" w:space="0" w:color="7EB1E6"/>
            </w:tcBorders>
          </w:tcPr>
          <w:p w14:paraId="23FC585D" w14:textId="77777777" w:rsidR="00086021" w:rsidRDefault="009E19AB">
            <w:pPr>
              <w:pStyle w:val="TableContents"/>
              <w:numPr>
                <w:ilvl w:val="0"/>
                <w:numId w:val="12"/>
              </w:numPr>
              <w:rPr>
                <w:sz w:val="16"/>
                <w:szCs w:val="16"/>
              </w:rPr>
            </w:pPr>
            <w:r>
              <w:rPr>
                <w:sz w:val="16"/>
                <w:szCs w:val="16"/>
              </w:rPr>
              <w:t xml:space="preserve">Regulates the activities of NGOs with regards to funding, foreign affiliations, national security, </w:t>
            </w:r>
            <w:proofErr w:type="gramStart"/>
            <w:r>
              <w:rPr>
                <w:sz w:val="16"/>
                <w:szCs w:val="16"/>
              </w:rPr>
              <w:t>training</w:t>
            </w:r>
            <w:proofErr w:type="gramEnd"/>
            <w:r>
              <w:rPr>
                <w:sz w:val="16"/>
                <w:szCs w:val="16"/>
              </w:rPr>
              <w:t xml:space="preserve"> and institutional building.</w:t>
            </w:r>
          </w:p>
        </w:tc>
        <w:tc>
          <w:tcPr>
            <w:tcW w:w="3506" w:type="dxa"/>
            <w:tcBorders>
              <w:top w:val="single" w:sz="4" w:space="0" w:color="7EB1E6"/>
              <w:left w:val="single" w:sz="4" w:space="0" w:color="7EB1E6"/>
              <w:bottom w:val="single" w:sz="4" w:space="0" w:color="7EB1E6"/>
              <w:right w:val="single" w:sz="4" w:space="0" w:color="7EB1E6"/>
            </w:tcBorders>
          </w:tcPr>
          <w:p w14:paraId="22D6B6C3" w14:textId="77777777" w:rsidR="00086021" w:rsidRDefault="009E19AB">
            <w:pPr>
              <w:pStyle w:val="TableContents"/>
              <w:rPr>
                <w:sz w:val="16"/>
                <w:szCs w:val="16"/>
              </w:rPr>
            </w:pPr>
            <w:r>
              <w:rPr>
                <w:sz w:val="16"/>
                <w:szCs w:val="16"/>
              </w:rPr>
              <w:t>The National Council of NGOs, Kindaruma Road, off Rose Avenue, off Ngong Road P.O. Box 48278-00100</w:t>
            </w:r>
            <w:r>
              <w:rPr>
                <w:sz w:val="16"/>
                <w:szCs w:val="16"/>
              </w:rPr>
              <w:br/>
              <w:t>Nairobi, Kenya</w:t>
            </w:r>
            <w:r>
              <w:rPr>
                <w:sz w:val="16"/>
                <w:szCs w:val="16"/>
              </w:rPr>
              <w:br/>
              <w:t>No email or website available</w:t>
            </w:r>
          </w:p>
        </w:tc>
      </w:tr>
      <w:tr w:rsidR="00086021" w14:paraId="06A563C7" w14:textId="77777777">
        <w:trPr>
          <w:trHeight w:hRule="exact" w:val="1"/>
        </w:trPr>
        <w:tc>
          <w:tcPr>
            <w:tcW w:w="2335" w:type="dxa"/>
            <w:tcBorders>
              <w:top w:val="single" w:sz="4" w:space="0" w:color="7EB1E6"/>
              <w:left w:val="single" w:sz="4" w:space="0" w:color="7EB1E6"/>
              <w:bottom w:val="single" w:sz="4" w:space="0" w:color="7EB1E6"/>
              <w:right w:val="single" w:sz="4" w:space="0" w:color="7EB1E6"/>
            </w:tcBorders>
            <w:shd w:val="clear" w:color="auto" w:fill="D3E5F6"/>
          </w:tcPr>
          <w:p w14:paraId="5F9CF580" w14:textId="77777777" w:rsidR="00086021" w:rsidRDefault="00086021">
            <w:pPr>
              <w:pStyle w:val="TableContents"/>
              <w:rPr>
                <w:sz w:val="16"/>
                <w:szCs w:val="16"/>
              </w:rPr>
            </w:pPr>
          </w:p>
        </w:tc>
        <w:tc>
          <w:tcPr>
            <w:tcW w:w="3174" w:type="dxa"/>
            <w:tcBorders>
              <w:top w:val="single" w:sz="4" w:space="0" w:color="7EB1E6"/>
              <w:left w:val="single" w:sz="4" w:space="0" w:color="7EB1E6"/>
              <w:bottom w:val="single" w:sz="4" w:space="0" w:color="7EB1E6"/>
              <w:right w:val="single" w:sz="4" w:space="0" w:color="7EB1E6"/>
            </w:tcBorders>
            <w:shd w:val="clear" w:color="auto" w:fill="D3E5F6"/>
          </w:tcPr>
          <w:p w14:paraId="2383148B" w14:textId="77777777" w:rsidR="00086021" w:rsidRDefault="00086021">
            <w:pPr>
              <w:pStyle w:val="TableContents"/>
              <w:rPr>
                <w:sz w:val="16"/>
                <w:szCs w:val="16"/>
              </w:rPr>
            </w:pPr>
          </w:p>
        </w:tc>
        <w:tc>
          <w:tcPr>
            <w:tcW w:w="3506" w:type="dxa"/>
            <w:tcBorders>
              <w:top w:val="single" w:sz="4" w:space="0" w:color="7EB1E6"/>
              <w:left w:val="single" w:sz="4" w:space="0" w:color="7EB1E6"/>
              <w:bottom w:val="single" w:sz="4" w:space="0" w:color="7EB1E6"/>
              <w:right w:val="single" w:sz="4" w:space="0" w:color="7EB1E6"/>
            </w:tcBorders>
            <w:shd w:val="clear" w:color="auto" w:fill="D3E5F6"/>
          </w:tcPr>
          <w:p w14:paraId="76B7DCFA" w14:textId="77777777" w:rsidR="00086021" w:rsidRDefault="00086021">
            <w:pPr>
              <w:pStyle w:val="TableContents"/>
              <w:rPr>
                <w:sz w:val="16"/>
                <w:szCs w:val="16"/>
              </w:rPr>
            </w:pPr>
          </w:p>
        </w:tc>
      </w:tr>
      <w:tr w:rsidR="00086021" w14:paraId="27E75DDD" w14:textId="77777777">
        <w:tc>
          <w:tcPr>
            <w:tcW w:w="2335" w:type="dxa"/>
            <w:tcBorders>
              <w:top w:val="single" w:sz="4" w:space="0" w:color="7EB1E6"/>
              <w:left w:val="single" w:sz="4" w:space="0" w:color="7EB1E6"/>
              <w:bottom w:val="single" w:sz="4" w:space="0" w:color="7EB1E6"/>
              <w:right w:val="single" w:sz="4" w:space="0" w:color="7EB1E6"/>
            </w:tcBorders>
            <w:shd w:val="clear" w:color="auto" w:fill="8ACC8E"/>
          </w:tcPr>
          <w:p w14:paraId="11F16DA3" w14:textId="77777777" w:rsidR="00086021" w:rsidRDefault="009E19AB">
            <w:pPr>
              <w:pStyle w:val="TableContents"/>
            </w:pPr>
            <w:r>
              <w:rPr>
                <w:rStyle w:val="Strong"/>
                <w:sz w:val="16"/>
                <w:szCs w:val="16"/>
              </w:rPr>
              <w:t>Ministry of Labour, Social Security &amp; Services</w:t>
            </w:r>
          </w:p>
        </w:tc>
        <w:tc>
          <w:tcPr>
            <w:tcW w:w="3174" w:type="dxa"/>
            <w:tcBorders>
              <w:top w:val="single" w:sz="4" w:space="0" w:color="7EB1E6"/>
              <w:left w:val="single" w:sz="4" w:space="0" w:color="7EB1E6"/>
              <w:bottom w:val="single" w:sz="4" w:space="0" w:color="7EB1E6"/>
              <w:right w:val="single" w:sz="4" w:space="0" w:color="7EB1E6"/>
            </w:tcBorders>
            <w:shd w:val="clear" w:color="auto" w:fill="8ACC8E"/>
          </w:tcPr>
          <w:p w14:paraId="7607BD5C" w14:textId="77777777" w:rsidR="00086021" w:rsidRDefault="009E19AB">
            <w:pPr>
              <w:pStyle w:val="TableContents"/>
              <w:numPr>
                <w:ilvl w:val="0"/>
                <w:numId w:val="12"/>
              </w:numPr>
              <w:rPr>
                <w:sz w:val="16"/>
                <w:szCs w:val="16"/>
              </w:rPr>
            </w:pPr>
            <w:r>
              <w:rPr>
                <w:sz w:val="16"/>
                <w:szCs w:val="16"/>
              </w:rPr>
              <w:t>Registration of CBOs &amp; SHGs through the Department of Social Development Officer</w:t>
            </w:r>
          </w:p>
          <w:p w14:paraId="21F866A3" w14:textId="77777777" w:rsidR="00086021" w:rsidRDefault="009E19AB">
            <w:pPr>
              <w:pStyle w:val="TableContents"/>
              <w:numPr>
                <w:ilvl w:val="0"/>
                <w:numId w:val="12"/>
              </w:numPr>
              <w:rPr>
                <w:sz w:val="16"/>
                <w:szCs w:val="16"/>
              </w:rPr>
            </w:pPr>
            <w:r>
              <w:rPr>
                <w:sz w:val="16"/>
                <w:szCs w:val="16"/>
              </w:rPr>
              <w:t>Development of policies</w:t>
            </w:r>
          </w:p>
        </w:tc>
        <w:tc>
          <w:tcPr>
            <w:tcW w:w="3506" w:type="dxa"/>
            <w:tcBorders>
              <w:top w:val="single" w:sz="4" w:space="0" w:color="7EB1E6"/>
              <w:left w:val="single" w:sz="4" w:space="0" w:color="7EB1E6"/>
              <w:bottom w:val="single" w:sz="4" w:space="0" w:color="7EB1E6"/>
              <w:right w:val="single" w:sz="4" w:space="0" w:color="7EB1E6"/>
            </w:tcBorders>
            <w:shd w:val="clear" w:color="auto" w:fill="8ACC8E"/>
          </w:tcPr>
          <w:p w14:paraId="51864A90" w14:textId="77777777" w:rsidR="00086021" w:rsidRDefault="009E19AB">
            <w:pPr>
              <w:pStyle w:val="TableContents"/>
            </w:pPr>
            <w:r>
              <w:rPr>
                <w:sz w:val="16"/>
                <w:szCs w:val="16"/>
              </w:rPr>
              <w:t>NSSF Building</w:t>
            </w:r>
            <w:r>
              <w:rPr>
                <w:sz w:val="16"/>
                <w:szCs w:val="16"/>
              </w:rPr>
              <w:br/>
              <w:t>Community</w:t>
            </w:r>
            <w:r>
              <w:rPr>
                <w:sz w:val="16"/>
                <w:szCs w:val="16"/>
              </w:rPr>
              <w:br/>
              <w:t>P. O. Box 40326-00100</w:t>
            </w:r>
            <w:r>
              <w:rPr>
                <w:sz w:val="16"/>
                <w:szCs w:val="16"/>
              </w:rPr>
              <w:br/>
              <w:t>Nairobi, Kenya</w:t>
            </w:r>
            <w:r>
              <w:rPr>
                <w:sz w:val="16"/>
                <w:szCs w:val="16"/>
              </w:rPr>
              <w:br/>
              <w:t>Tel: +254 20 2729800</w:t>
            </w:r>
            <w:r>
              <w:rPr>
                <w:sz w:val="16"/>
                <w:szCs w:val="16"/>
              </w:rPr>
              <w:br/>
              <w:t>Email: </w:t>
            </w:r>
            <w:hyperlink r:id="rId76">
              <w:r>
                <w:rPr>
                  <w:rStyle w:val="Hyperlink"/>
                </w:rPr>
                <w:t>info@labour.go.ke</w:t>
              </w:r>
            </w:hyperlink>
            <w:r>
              <w:rPr>
                <w:sz w:val="16"/>
                <w:szCs w:val="16"/>
              </w:rPr>
              <w:br/>
              <w:t>Website: </w:t>
            </w:r>
            <w:hyperlink r:id="rId77" w:tgtFrame="_blank">
              <w:r>
                <w:rPr>
                  <w:rStyle w:val="Hyperlink"/>
                </w:rPr>
                <w:t>www.labour.go.ke</w:t>
              </w:r>
            </w:hyperlink>
          </w:p>
        </w:tc>
      </w:tr>
      <w:tr w:rsidR="00086021" w14:paraId="4FF9A0FD" w14:textId="77777777">
        <w:tc>
          <w:tcPr>
            <w:tcW w:w="2335" w:type="dxa"/>
            <w:tcBorders>
              <w:top w:val="single" w:sz="4" w:space="0" w:color="7EB1E6"/>
              <w:left w:val="single" w:sz="4" w:space="0" w:color="7EB1E6"/>
              <w:bottom w:val="single" w:sz="4" w:space="0" w:color="7EB1E6"/>
              <w:right w:val="single" w:sz="4" w:space="0" w:color="7EB1E6"/>
            </w:tcBorders>
          </w:tcPr>
          <w:p w14:paraId="7208C22C" w14:textId="77777777" w:rsidR="00086021" w:rsidRDefault="009E19AB">
            <w:pPr>
              <w:pStyle w:val="TableContents"/>
            </w:pPr>
            <w:r>
              <w:rPr>
                <w:rStyle w:val="Strong"/>
                <w:sz w:val="16"/>
                <w:szCs w:val="16"/>
              </w:rPr>
              <w:t>The Ministry of Devolution and Planning</w:t>
            </w:r>
          </w:p>
        </w:tc>
        <w:tc>
          <w:tcPr>
            <w:tcW w:w="3174" w:type="dxa"/>
            <w:tcBorders>
              <w:top w:val="single" w:sz="4" w:space="0" w:color="7EB1E6"/>
              <w:left w:val="single" w:sz="4" w:space="0" w:color="7EB1E6"/>
              <w:bottom w:val="single" w:sz="4" w:space="0" w:color="7EB1E6"/>
              <w:right w:val="single" w:sz="4" w:space="0" w:color="7EB1E6"/>
            </w:tcBorders>
          </w:tcPr>
          <w:p w14:paraId="550DF87C" w14:textId="77777777" w:rsidR="00086021" w:rsidRDefault="009E19AB">
            <w:pPr>
              <w:pStyle w:val="TableContents"/>
              <w:numPr>
                <w:ilvl w:val="0"/>
                <w:numId w:val="13"/>
              </w:numPr>
              <w:rPr>
                <w:sz w:val="16"/>
                <w:szCs w:val="16"/>
              </w:rPr>
            </w:pPr>
            <w:r>
              <w:rPr>
                <w:sz w:val="16"/>
                <w:szCs w:val="16"/>
              </w:rPr>
              <w:t>Offers grants to PBOs (</w:t>
            </w:r>
            <w:proofErr w:type="gramStart"/>
            <w:r>
              <w:rPr>
                <w:sz w:val="16"/>
                <w:szCs w:val="16"/>
              </w:rPr>
              <w:t>e.g.</w:t>
            </w:r>
            <w:proofErr w:type="gramEnd"/>
            <w:r>
              <w:rPr>
                <w:sz w:val="16"/>
                <w:szCs w:val="16"/>
              </w:rPr>
              <w:t xml:space="preserve"> Women Empowerment Fund, Uwezo fund)</w:t>
            </w:r>
          </w:p>
          <w:p w14:paraId="14029979" w14:textId="77777777" w:rsidR="00086021" w:rsidRDefault="009E19AB">
            <w:pPr>
              <w:pStyle w:val="TableContents"/>
              <w:numPr>
                <w:ilvl w:val="0"/>
                <w:numId w:val="13"/>
              </w:numPr>
              <w:rPr>
                <w:sz w:val="16"/>
                <w:szCs w:val="16"/>
              </w:rPr>
            </w:pPr>
            <w:r>
              <w:rPr>
                <w:sz w:val="16"/>
                <w:szCs w:val="16"/>
              </w:rPr>
              <w:t>Formulates laws and standards for the PBO sector</w:t>
            </w:r>
          </w:p>
        </w:tc>
        <w:tc>
          <w:tcPr>
            <w:tcW w:w="3506" w:type="dxa"/>
            <w:tcBorders>
              <w:top w:val="single" w:sz="4" w:space="0" w:color="7EB1E6"/>
              <w:left w:val="single" w:sz="4" w:space="0" w:color="7EB1E6"/>
              <w:bottom w:val="single" w:sz="4" w:space="0" w:color="7EB1E6"/>
              <w:right w:val="single" w:sz="4" w:space="0" w:color="7EB1E6"/>
            </w:tcBorders>
          </w:tcPr>
          <w:p w14:paraId="42C66410" w14:textId="77777777" w:rsidR="00086021" w:rsidRDefault="009E19AB">
            <w:pPr>
              <w:pStyle w:val="TableContents"/>
            </w:pPr>
            <w:r>
              <w:rPr>
                <w:sz w:val="16"/>
                <w:szCs w:val="16"/>
              </w:rPr>
              <w:t>Nairobi, NSSF Building, Block A, Eastern Wing 6th Floor.</w:t>
            </w:r>
            <w:r>
              <w:rPr>
                <w:sz w:val="16"/>
                <w:szCs w:val="16"/>
              </w:rPr>
              <w:br/>
              <w:t>P.O Box 30007-00100</w:t>
            </w:r>
            <w:r>
              <w:rPr>
                <w:sz w:val="16"/>
                <w:szCs w:val="16"/>
              </w:rPr>
              <w:br/>
              <w:t>Nairobi, Kenya</w:t>
            </w:r>
            <w:r>
              <w:rPr>
                <w:sz w:val="16"/>
                <w:szCs w:val="16"/>
              </w:rPr>
              <w:br/>
              <w:t>Box 16936-00100 Nairobi</w:t>
            </w:r>
            <w:r>
              <w:rPr>
                <w:sz w:val="16"/>
                <w:szCs w:val="16"/>
              </w:rPr>
              <w:br/>
              <w:t>Tel: (+254-020)-2727980</w:t>
            </w:r>
            <w:r>
              <w:rPr>
                <w:sz w:val="16"/>
                <w:szCs w:val="16"/>
              </w:rPr>
              <w:br/>
              <w:t>/2252299</w:t>
            </w:r>
            <w:r>
              <w:rPr>
                <w:sz w:val="16"/>
                <w:szCs w:val="16"/>
              </w:rPr>
              <w:br/>
              <w:t>Fax: (+254-020)-2734417.</w:t>
            </w:r>
            <w:r>
              <w:rPr>
                <w:sz w:val="16"/>
                <w:szCs w:val="16"/>
              </w:rPr>
              <w:br/>
              <w:t>Email: </w:t>
            </w:r>
            <w:hyperlink r:id="rId78">
              <w:r>
                <w:rPr>
                  <w:rStyle w:val="Hyperlink"/>
                </w:rPr>
                <w:t>info@devolutionplanning.go.ke</w:t>
              </w:r>
            </w:hyperlink>
            <w:r>
              <w:rPr>
                <w:sz w:val="16"/>
                <w:szCs w:val="16"/>
              </w:rPr>
              <w:br/>
              <w:t>Website: </w:t>
            </w:r>
            <w:hyperlink r:id="rId79" w:tgtFrame="_blank">
              <w:r>
                <w:rPr>
                  <w:rStyle w:val="Hyperlink"/>
                </w:rPr>
                <w:t>www.devolutionplanning.go.ke</w:t>
              </w:r>
            </w:hyperlink>
          </w:p>
        </w:tc>
      </w:tr>
      <w:tr w:rsidR="00086021" w14:paraId="37F8AFD3" w14:textId="77777777">
        <w:tc>
          <w:tcPr>
            <w:tcW w:w="2335" w:type="dxa"/>
            <w:tcBorders>
              <w:top w:val="single" w:sz="4" w:space="0" w:color="7EB1E6"/>
              <w:left w:val="single" w:sz="4" w:space="0" w:color="7EB1E6"/>
              <w:bottom w:val="single" w:sz="4" w:space="0" w:color="7EB1E6"/>
              <w:right w:val="single" w:sz="4" w:space="0" w:color="7EB1E6"/>
            </w:tcBorders>
            <w:shd w:val="clear" w:color="auto" w:fill="8ACC8E"/>
          </w:tcPr>
          <w:p w14:paraId="36A1E852" w14:textId="77777777" w:rsidR="00086021" w:rsidRDefault="009E19AB">
            <w:pPr>
              <w:pStyle w:val="TableContents"/>
            </w:pPr>
            <w:r>
              <w:rPr>
                <w:rStyle w:val="Strong"/>
                <w:sz w:val="16"/>
                <w:szCs w:val="16"/>
              </w:rPr>
              <w:t>NGOs Support and Resource Center</w:t>
            </w:r>
          </w:p>
        </w:tc>
        <w:tc>
          <w:tcPr>
            <w:tcW w:w="3174" w:type="dxa"/>
            <w:tcBorders>
              <w:top w:val="single" w:sz="4" w:space="0" w:color="7EB1E6"/>
              <w:left w:val="single" w:sz="4" w:space="0" w:color="7EB1E6"/>
              <w:bottom w:val="single" w:sz="4" w:space="0" w:color="7EB1E6"/>
              <w:right w:val="single" w:sz="4" w:space="0" w:color="7EB1E6"/>
            </w:tcBorders>
            <w:shd w:val="clear" w:color="auto" w:fill="8ACC8E"/>
          </w:tcPr>
          <w:p w14:paraId="7C5A6688" w14:textId="77777777" w:rsidR="00086021" w:rsidRDefault="009E19AB">
            <w:pPr>
              <w:pStyle w:val="TableContents"/>
              <w:numPr>
                <w:ilvl w:val="0"/>
                <w:numId w:val="18"/>
              </w:numPr>
              <w:rPr>
                <w:sz w:val="16"/>
                <w:szCs w:val="16"/>
              </w:rPr>
            </w:pPr>
            <w:r>
              <w:rPr>
                <w:sz w:val="16"/>
                <w:szCs w:val="16"/>
              </w:rPr>
              <w:t>Capacity builds NGOs in project financial managements and monitoring and evaluation</w:t>
            </w:r>
          </w:p>
          <w:p w14:paraId="331C59F5" w14:textId="77777777" w:rsidR="00086021" w:rsidRDefault="009E19AB">
            <w:pPr>
              <w:pStyle w:val="TableContents"/>
              <w:numPr>
                <w:ilvl w:val="0"/>
                <w:numId w:val="18"/>
              </w:numPr>
              <w:rPr>
                <w:sz w:val="16"/>
                <w:szCs w:val="16"/>
              </w:rPr>
            </w:pPr>
            <w:r>
              <w:rPr>
                <w:sz w:val="16"/>
                <w:szCs w:val="16"/>
              </w:rPr>
              <w:t>Lobbies for policies for NGOs</w:t>
            </w:r>
          </w:p>
          <w:p w14:paraId="61B3CADE" w14:textId="77777777" w:rsidR="00086021" w:rsidRDefault="009E19AB">
            <w:pPr>
              <w:pStyle w:val="TableContents"/>
              <w:numPr>
                <w:ilvl w:val="0"/>
                <w:numId w:val="18"/>
              </w:numPr>
              <w:rPr>
                <w:sz w:val="16"/>
                <w:szCs w:val="16"/>
              </w:rPr>
            </w:pPr>
            <w:r>
              <w:rPr>
                <w:sz w:val="16"/>
                <w:szCs w:val="16"/>
              </w:rPr>
              <w:t>Supports NGOs in filling of statutory returns, procurement issues and staff recruitment</w:t>
            </w:r>
          </w:p>
          <w:p w14:paraId="497A8FB3" w14:textId="3943E548" w:rsidR="00086021" w:rsidRDefault="009E19AB">
            <w:pPr>
              <w:pStyle w:val="TableContents"/>
              <w:numPr>
                <w:ilvl w:val="0"/>
                <w:numId w:val="18"/>
              </w:numPr>
              <w:rPr>
                <w:sz w:val="16"/>
                <w:szCs w:val="16"/>
              </w:rPr>
            </w:pPr>
            <w:r>
              <w:rPr>
                <w:sz w:val="16"/>
                <w:szCs w:val="16"/>
              </w:rPr>
              <w:t xml:space="preserve">Supports NGOs in fundraising and resource </w:t>
            </w:r>
            <w:proofErr w:type="spellStart"/>
            <w:r w:rsidR="00C80431">
              <w:rPr>
                <w:sz w:val="16"/>
                <w:szCs w:val="16"/>
              </w:rPr>
              <w:t>mobilisation</w:t>
            </w:r>
            <w:proofErr w:type="spellEnd"/>
          </w:p>
        </w:tc>
        <w:tc>
          <w:tcPr>
            <w:tcW w:w="3506" w:type="dxa"/>
            <w:tcBorders>
              <w:top w:val="single" w:sz="4" w:space="0" w:color="7EB1E6"/>
              <w:left w:val="single" w:sz="4" w:space="0" w:color="7EB1E6"/>
              <w:bottom w:val="single" w:sz="4" w:space="0" w:color="7EB1E6"/>
              <w:right w:val="single" w:sz="4" w:space="0" w:color="7EB1E6"/>
            </w:tcBorders>
            <w:shd w:val="clear" w:color="auto" w:fill="8ACC8E"/>
          </w:tcPr>
          <w:p w14:paraId="7DE792D3" w14:textId="77777777" w:rsidR="00086021" w:rsidRDefault="009E19AB">
            <w:pPr>
              <w:pStyle w:val="TableContents"/>
            </w:pPr>
            <w:r>
              <w:rPr>
                <w:sz w:val="16"/>
                <w:szCs w:val="16"/>
              </w:rPr>
              <w:t xml:space="preserve">Top Brass House, 1st Floor, Next To Naivas Supermarket, Along Outering Road Of Thika </w:t>
            </w:r>
            <w:proofErr w:type="gramStart"/>
            <w:r>
              <w:rPr>
                <w:sz w:val="16"/>
                <w:szCs w:val="16"/>
              </w:rPr>
              <w:t>Super Highway</w:t>
            </w:r>
            <w:proofErr w:type="gramEnd"/>
            <w:r>
              <w:rPr>
                <w:sz w:val="16"/>
                <w:szCs w:val="16"/>
              </w:rPr>
              <w:br/>
              <w:t>Nairobi, Kenya</w:t>
            </w:r>
            <w:r>
              <w:rPr>
                <w:sz w:val="16"/>
                <w:szCs w:val="16"/>
              </w:rPr>
              <w:br/>
              <w:t>Tel: +254 707 376 163</w:t>
            </w:r>
            <w:r>
              <w:rPr>
                <w:sz w:val="16"/>
                <w:szCs w:val="16"/>
              </w:rPr>
              <w:br/>
              <w:t>Email: </w:t>
            </w:r>
            <w:hyperlink r:id="rId80">
              <w:r>
                <w:rPr>
                  <w:rStyle w:val="Hyperlink"/>
                </w:rPr>
                <w:t>info@ngos-support.org</w:t>
              </w:r>
            </w:hyperlink>
            <w:r>
              <w:rPr>
                <w:sz w:val="16"/>
                <w:szCs w:val="16"/>
              </w:rPr>
              <w:br/>
              <w:t>Website: </w:t>
            </w:r>
            <w:hyperlink r:id="rId81" w:tgtFrame="_blank">
              <w:r>
                <w:rPr>
                  <w:rStyle w:val="Hyperlink"/>
                </w:rPr>
                <w:t>http://ngos-support.org/</w:t>
              </w:r>
            </w:hyperlink>
          </w:p>
        </w:tc>
      </w:tr>
      <w:tr w:rsidR="00086021" w14:paraId="72A36E5E" w14:textId="77777777">
        <w:tc>
          <w:tcPr>
            <w:tcW w:w="2335" w:type="dxa"/>
            <w:tcBorders>
              <w:top w:val="single" w:sz="4" w:space="0" w:color="7EB1E6"/>
              <w:left w:val="single" w:sz="4" w:space="0" w:color="7EB1E6"/>
              <w:bottom w:val="single" w:sz="4" w:space="0" w:color="7EB1E6"/>
              <w:right w:val="single" w:sz="4" w:space="0" w:color="7EB1E6"/>
            </w:tcBorders>
          </w:tcPr>
          <w:p w14:paraId="5A7DFF34" w14:textId="77777777" w:rsidR="00086021" w:rsidRDefault="009E19AB">
            <w:pPr>
              <w:pStyle w:val="TableContents"/>
            </w:pPr>
            <w:r>
              <w:rPr>
                <w:rStyle w:val="Strong"/>
                <w:sz w:val="16"/>
                <w:szCs w:val="16"/>
              </w:rPr>
              <w:t>East African Association of Grant Makers (EAAG)</w:t>
            </w:r>
          </w:p>
        </w:tc>
        <w:tc>
          <w:tcPr>
            <w:tcW w:w="3174" w:type="dxa"/>
            <w:tcBorders>
              <w:top w:val="single" w:sz="4" w:space="0" w:color="7EB1E6"/>
              <w:left w:val="single" w:sz="4" w:space="0" w:color="7EB1E6"/>
              <w:bottom w:val="single" w:sz="4" w:space="0" w:color="7EB1E6"/>
              <w:right w:val="single" w:sz="4" w:space="0" w:color="7EB1E6"/>
            </w:tcBorders>
          </w:tcPr>
          <w:p w14:paraId="2EB447A8" w14:textId="7D891844" w:rsidR="00086021" w:rsidRDefault="009E19AB">
            <w:pPr>
              <w:pStyle w:val="TableContents"/>
              <w:numPr>
                <w:ilvl w:val="0"/>
                <w:numId w:val="19"/>
              </w:numPr>
              <w:rPr>
                <w:sz w:val="16"/>
                <w:szCs w:val="16"/>
              </w:rPr>
            </w:pPr>
            <w:r>
              <w:rPr>
                <w:sz w:val="16"/>
                <w:szCs w:val="16"/>
              </w:rPr>
              <w:t xml:space="preserve">Facilitates resource </w:t>
            </w:r>
            <w:r w:rsidR="00A45B97">
              <w:rPr>
                <w:sz w:val="16"/>
                <w:szCs w:val="16"/>
              </w:rPr>
              <w:t xml:space="preserve">mobilization </w:t>
            </w:r>
            <w:r>
              <w:rPr>
                <w:sz w:val="16"/>
                <w:szCs w:val="16"/>
              </w:rPr>
              <w:t>and effective grant making for its member PBOs.</w:t>
            </w:r>
          </w:p>
          <w:p w14:paraId="552DC2BC" w14:textId="77777777" w:rsidR="00086021" w:rsidRDefault="009E19AB">
            <w:pPr>
              <w:pStyle w:val="TableContents"/>
              <w:numPr>
                <w:ilvl w:val="0"/>
                <w:numId w:val="19"/>
              </w:numPr>
              <w:rPr>
                <w:sz w:val="16"/>
                <w:szCs w:val="16"/>
              </w:rPr>
            </w:pPr>
            <w:r>
              <w:rPr>
                <w:sz w:val="16"/>
                <w:szCs w:val="16"/>
              </w:rPr>
              <w:t>Capacity builds PBOs on endowment building, Foundation building, Grant making and other core areas of interest to grant makers.</w:t>
            </w:r>
          </w:p>
          <w:p w14:paraId="579483CE" w14:textId="77777777" w:rsidR="00086021" w:rsidRDefault="009E19AB">
            <w:pPr>
              <w:pStyle w:val="TableContents"/>
              <w:numPr>
                <w:ilvl w:val="0"/>
                <w:numId w:val="19"/>
              </w:numPr>
              <w:rPr>
                <w:sz w:val="16"/>
                <w:szCs w:val="16"/>
              </w:rPr>
            </w:pPr>
            <w:r>
              <w:rPr>
                <w:sz w:val="16"/>
                <w:szCs w:val="16"/>
              </w:rPr>
              <w:t xml:space="preserve">Facilitates learning, </w:t>
            </w:r>
            <w:proofErr w:type="gramStart"/>
            <w:r>
              <w:rPr>
                <w:sz w:val="16"/>
                <w:szCs w:val="16"/>
              </w:rPr>
              <w:t>networking</w:t>
            </w:r>
            <w:proofErr w:type="gramEnd"/>
            <w:r>
              <w:rPr>
                <w:sz w:val="16"/>
                <w:szCs w:val="16"/>
              </w:rPr>
              <w:t xml:space="preserve"> and sharing of knowledge and information among members</w:t>
            </w:r>
          </w:p>
          <w:p w14:paraId="77916A0C" w14:textId="77777777" w:rsidR="00086021" w:rsidRDefault="009E19AB">
            <w:pPr>
              <w:pStyle w:val="TableContents"/>
              <w:numPr>
                <w:ilvl w:val="0"/>
                <w:numId w:val="19"/>
              </w:numPr>
              <w:rPr>
                <w:sz w:val="16"/>
                <w:szCs w:val="16"/>
              </w:rPr>
            </w:pPr>
            <w:r>
              <w:rPr>
                <w:sz w:val="16"/>
                <w:szCs w:val="16"/>
              </w:rPr>
              <w:t xml:space="preserve">Develops and strengthens partnerships with Governments, Civil Society, Private Sector, Development partners, Faith Based </w:t>
            </w:r>
            <w:proofErr w:type="gramStart"/>
            <w:r>
              <w:rPr>
                <w:sz w:val="16"/>
                <w:szCs w:val="16"/>
              </w:rPr>
              <w:t>Organizations</w:t>
            </w:r>
            <w:proofErr w:type="gramEnd"/>
            <w:r>
              <w:rPr>
                <w:sz w:val="16"/>
                <w:szCs w:val="16"/>
              </w:rPr>
              <w:t xml:space="preserve"> and other Global Grant maker Support Organization on common areas of interest.</w:t>
            </w:r>
          </w:p>
        </w:tc>
        <w:tc>
          <w:tcPr>
            <w:tcW w:w="3506" w:type="dxa"/>
            <w:tcBorders>
              <w:top w:val="single" w:sz="4" w:space="0" w:color="7EB1E6"/>
              <w:left w:val="single" w:sz="4" w:space="0" w:color="7EB1E6"/>
              <w:bottom w:val="single" w:sz="4" w:space="0" w:color="7EB1E6"/>
              <w:right w:val="single" w:sz="4" w:space="0" w:color="7EB1E6"/>
            </w:tcBorders>
          </w:tcPr>
          <w:p w14:paraId="209E4400" w14:textId="77777777" w:rsidR="00086021" w:rsidRDefault="009E19AB">
            <w:pPr>
              <w:pStyle w:val="TableContents"/>
            </w:pPr>
            <w:r>
              <w:rPr>
                <w:sz w:val="16"/>
                <w:szCs w:val="16"/>
              </w:rPr>
              <w:t>Rattansi Educational Trust Building-4th Floor Koinange Street</w:t>
            </w:r>
            <w:r>
              <w:rPr>
                <w:sz w:val="16"/>
                <w:szCs w:val="16"/>
              </w:rPr>
              <w:br/>
              <w:t>P.O. Box 49626 -00100</w:t>
            </w:r>
            <w:r>
              <w:rPr>
                <w:sz w:val="16"/>
                <w:szCs w:val="16"/>
              </w:rPr>
              <w:br/>
              <w:t>Nairobi, Kenya</w:t>
            </w:r>
            <w:r>
              <w:rPr>
                <w:sz w:val="16"/>
                <w:szCs w:val="16"/>
              </w:rPr>
              <w:br/>
              <w:t xml:space="preserve">Tel: +254 020 315 </w:t>
            </w:r>
            <w:proofErr w:type="gramStart"/>
            <w:r>
              <w:rPr>
                <w:sz w:val="16"/>
                <w:szCs w:val="16"/>
              </w:rPr>
              <w:t>773  |</w:t>
            </w:r>
            <w:proofErr w:type="gramEnd"/>
            <w:r>
              <w:rPr>
                <w:sz w:val="16"/>
                <w:szCs w:val="16"/>
              </w:rPr>
              <w:t xml:space="preserve"> or</w:t>
            </w:r>
            <w:r>
              <w:rPr>
                <w:sz w:val="16"/>
                <w:szCs w:val="16"/>
              </w:rPr>
              <w:br/>
              <w:t>Mobile: + 254 0722 573575</w:t>
            </w:r>
            <w:r>
              <w:rPr>
                <w:sz w:val="16"/>
                <w:szCs w:val="16"/>
              </w:rPr>
              <w:br/>
              <w:t>Fax to: +254 020 2244470</w:t>
            </w:r>
            <w:r>
              <w:rPr>
                <w:sz w:val="16"/>
                <w:szCs w:val="16"/>
              </w:rPr>
              <w:br/>
              <w:t>Email: </w:t>
            </w:r>
            <w:hyperlink r:id="rId82">
              <w:r>
                <w:rPr>
                  <w:rStyle w:val="Hyperlink"/>
                </w:rPr>
                <w:t>info@eaag.org</w:t>
              </w:r>
            </w:hyperlink>
            <w:r>
              <w:rPr>
                <w:sz w:val="16"/>
                <w:szCs w:val="16"/>
              </w:rPr>
              <w:br/>
              <w:t>Website: </w:t>
            </w:r>
            <w:hyperlink r:id="rId83">
              <w:r>
                <w:rPr>
                  <w:rStyle w:val="Hyperlink"/>
                </w:rPr>
                <w:t>www.eaag.org</w:t>
              </w:r>
            </w:hyperlink>
          </w:p>
        </w:tc>
      </w:tr>
    </w:tbl>
    <w:p w14:paraId="02CDF919" w14:textId="77777777" w:rsidR="00086021" w:rsidRDefault="00086021"/>
    <w:p w14:paraId="32D9EBC1" w14:textId="77777777" w:rsidR="00086021" w:rsidRDefault="00086021"/>
    <w:p w14:paraId="6D362361" w14:textId="77777777" w:rsidR="00086021" w:rsidRDefault="00086021"/>
    <w:p w14:paraId="50F83008" w14:textId="77777777" w:rsidR="00086021" w:rsidRDefault="00086021"/>
    <w:p w14:paraId="5C577D0B" w14:textId="77777777" w:rsidR="00086021" w:rsidRDefault="00086021"/>
    <w:p w14:paraId="2364FC8B" w14:textId="77777777" w:rsidR="00086021" w:rsidRDefault="00086021"/>
    <w:p w14:paraId="74392966" w14:textId="77777777" w:rsidR="00086021" w:rsidRDefault="009E19AB">
      <w:pPr>
        <w:pStyle w:val="Heading3"/>
      </w:pPr>
      <w:r>
        <w:lastRenderedPageBreak/>
        <w:t>Annex 12: Glossary</w:t>
      </w:r>
    </w:p>
    <w:p w14:paraId="4FF62424" w14:textId="77777777" w:rsidR="00086021" w:rsidRDefault="00086021"/>
    <w:tbl>
      <w:tblPr>
        <w:tblW w:w="9016" w:type="dxa"/>
        <w:tblLook w:val="04A0" w:firstRow="1" w:lastRow="0" w:firstColumn="1" w:lastColumn="0" w:noHBand="0" w:noVBand="1"/>
      </w:tblPr>
      <w:tblGrid>
        <w:gridCol w:w="1838"/>
        <w:gridCol w:w="7178"/>
      </w:tblGrid>
      <w:tr w:rsidR="00086021" w:rsidRPr="003729E7" w14:paraId="35476784" w14:textId="77777777" w:rsidTr="003729E7">
        <w:trPr>
          <w:tblHeader/>
        </w:trPr>
        <w:tc>
          <w:tcPr>
            <w:tcW w:w="1838" w:type="dxa"/>
            <w:tcBorders>
              <w:bottom w:val="single" w:sz="12" w:space="0" w:color="9CC2E5"/>
            </w:tcBorders>
            <w:shd w:val="clear" w:color="auto" w:fill="C9211E"/>
          </w:tcPr>
          <w:p w14:paraId="30D55D1C" w14:textId="77777777" w:rsidR="00086021" w:rsidRPr="003729E7" w:rsidRDefault="009E19AB" w:rsidP="003729E7">
            <w:pPr>
              <w:pStyle w:val="TableContents"/>
              <w:rPr>
                <w:rFonts w:ascii="Franklin Gothic Demi" w:hAnsi="Franklin Gothic Demi"/>
                <w:color w:val="FEFEFE"/>
                <w:sz w:val="20"/>
                <w:szCs w:val="20"/>
              </w:rPr>
            </w:pPr>
            <w:r w:rsidRPr="003729E7">
              <w:rPr>
                <w:rFonts w:ascii="Franklin Gothic Demi" w:hAnsi="Franklin Gothic Demi"/>
                <w:color w:val="FEFEFE"/>
                <w:sz w:val="20"/>
                <w:szCs w:val="20"/>
              </w:rPr>
              <w:t>Term</w:t>
            </w:r>
          </w:p>
        </w:tc>
        <w:tc>
          <w:tcPr>
            <w:tcW w:w="7178" w:type="dxa"/>
            <w:tcBorders>
              <w:bottom w:val="single" w:sz="12" w:space="0" w:color="9CC2E5"/>
            </w:tcBorders>
            <w:shd w:val="clear" w:color="auto" w:fill="C9211E"/>
          </w:tcPr>
          <w:p w14:paraId="0461C175" w14:textId="77777777" w:rsidR="00086021" w:rsidRPr="003729E7" w:rsidRDefault="009E19AB">
            <w:pPr>
              <w:pStyle w:val="TableContents"/>
              <w:rPr>
                <w:rFonts w:ascii="Franklin Gothic Demi" w:hAnsi="Franklin Gothic Demi"/>
                <w:color w:val="FEFEFE"/>
                <w:sz w:val="20"/>
                <w:szCs w:val="20"/>
              </w:rPr>
            </w:pPr>
            <w:r w:rsidRPr="003729E7">
              <w:rPr>
                <w:rFonts w:ascii="Franklin Gothic Demi" w:hAnsi="Franklin Gothic Demi"/>
                <w:color w:val="FEFEFE"/>
                <w:sz w:val="20"/>
                <w:szCs w:val="20"/>
              </w:rPr>
              <w:t>Definition</w:t>
            </w:r>
          </w:p>
        </w:tc>
      </w:tr>
      <w:tr w:rsidR="00086021" w14:paraId="38CBD7D7" w14:textId="77777777" w:rsidTr="003729E7">
        <w:tc>
          <w:tcPr>
            <w:tcW w:w="1838" w:type="dxa"/>
            <w:tcBorders>
              <w:top w:val="single" w:sz="2" w:space="0" w:color="9CC2E5"/>
              <w:bottom w:val="single" w:sz="2" w:space="0" w:color="9CC2E5"/>
              <w:right w:val="single" w:sz="2" w:space="0" w:color="9CC2E5"/>
            </w:tcBorders>
            <w:shd w:val="clear" w:color="auto" w:fill="8ACC8E"/>
          </w:tcPr>
          <w:p w14:paraId="0F5B0DC5" w14:textId="77777777" w:rsidR="00086021" w:rsidRDefault="009E19AB" w:rsidP="003729E7">
            <w:pPr>
              <w:pStyle w:val="TableContents"/>
              <w:rPr>
                <w:szCs w:val="18"/>
              </w:rPr>
            </w:pPr>
            <w:r>
              <w:rPr>
                <w:szCs w:val="18"/>
              </w:rPr>
              <w:t>Benefits Package</w:t>
            </w:r>
          </w:p>
        </w:tc>
        <w:tc>
          <w:tcPr>
            <w:tcW w:w="7178" w:type="dxa"/>
            <w:tcBorders>
              <w:top w:val="single" w:sz="2" w:space="0" w:color="9CC2E5"/>
              <w:left w:val="single" w:sz="2" w:space="0" w:color="9CC2E5"/>
              <w:bottom w:val="single" w:sz="2" w:space="0" w:color="9CC2E5"/>
            </w:tcBorders>
            <w:shd w:val="clear" w:color="auto" w:fill="8ACC8E"/>
          </w:tcPr>
          <w:p w14:paraId="332BF7BD" w14:textId="77777777" w:rsidR="00086021" w:rsidRDefault="009E19AB" w:rsidP="003729E7">
            <w:pPr>
              <w:pStyle w:val="TableContents"/>
              <w:jc w:val="both"/>
              <w:rPr>
                <w:szCs w:val="18"/>
              </w:rPr>
            </w:pPr>
            <w:r>
              <w:rPr>
                <w:szCs w:val="18"/>
              </w:rPr>
              <w:t>Generally, the services that the population is entitled to receive for free or with co-payments. It would indicate what to buy, in which form and what to exclude.</w:t>
            </w:r>
          </w:p>
        </w:tc>
      </w:tr>
      <w:tr w:rsidR="00086021" w14:paraId="5C3746B8" w14:textId="77777777" w:rsidTr="003729E7">
        <w:tc>
          <w:tcPr>
            <w:tcW w:w="1838" w:type="dxa"/>
            <w:tcBorders>
              <w:top w:val="single" w:sz="2" w:space="0" w:color="9CC2E5"/>
              <w:bottom w:val="single" w:sz="2" w:space="0" w:color="9CC2E5"/>
              <w:right w:val="single" w:sz="2" w:space="0" w:color="9CC2E5"/>
            </w:tcBorders>
          </w:tcPr>
          <w:p w14:paraId="7F242633" w14:textId="77777777" w:rsidR="00086021" w:rsidRDefault="009E19AB" w:rsidP="003729E7">
            <w:pPr>
              <w:pStyle w:val="TableContents"/>
              <w:rPr>
                <w:szCs w:val="18"/>
              </w:rPr>
            </w:pPr>
            <w:r>
              <w:rPr>
                <w:szCs w:val="18"/>
              </w:rPr>
              <w:t>Budget</w:t>
            </w:r>
          </w:p>
        </w:tc>
        <w:tc>
          <w:tcPr>
            <w:tcW w:w="7178" w:type="dxa"/>
            <w:tcBorders>
              <w:top w:val="single" w:sz="2" w:space="0" w:color="9CC2E5"/>
              <w:left w:val="single" w:sz="2" w:space="0" w:color="9CC2E5"/>
              <w:bottom w:val="single" w:sz="2" w:space="0" w:color="9CC2E5"/>
            </w:tcBorders>
          </w:tcPr>
          <w:p w14:paraId="28DA5D3A" w14:textId="77777777" w:rsidR="00086021" w:rsidRDefault="009E19AB" w:rsidP="003729E7">
            <w:pPr>
              <w:pStyle w:val="TableContents"/>
              <w:jc w:val="both"/>
              <w:rPr>
                <w:szCs w:val="18"/>
              </w:rPr>
            </w:pPr>
            <w:r>
              <w:rPr>
                <w:szCs w:val="18"/>
              </w:rPr>
              <w:t>The budget is an estimate of Government’s expenditure and revenue within a specified period (usually one year). It shows how the Government plans to make, spend or borrow money. Budgets help to prioritize health needs and interventions that will improve health outcomes for the population.</w:t>
            </w:r>
          </w:p>
        </w:tc>
      </w:tr>
      <w:tr w:rsidR="00086021" w14:paraId="4943C02E" w14:textId="77777777" w:rsidTr="003729E7">
        <w:tc>
          <w:tcPr>
            <w:tcW w:w="1838" w:type="dxa"/>
            <w:tcBorders>
              <w:top w:val="single" w:sz="2" w:space="0" w:color="9CC2E5"/>
              <w:bottom w:val="single" w:sz="2" w:space="0" w:color="9CC2E5"/>
              <w:right w:val="single" w:sz="2" w:space="0" w:color="9CC2E5"/>
            </w:tcBorders>
            <w:shd w:val="clear" w:color="auto" w:fill="8ACC8E"/>
          </w:tcPr>
          <w:p w14:paraId="4FA0FA14" w14:textId="77777777" w:rsidR="00086021" w:rsidRDefault="009E19AB" w:rsidP="003729E7">
            <w:pPr>
              <w:pStyle w:val="TableContents"/>
              <w:rPr>
                <w:szCs w:val="18"/>
              </w:rPr>
            </w:pPr>
            <w:r>
              <w:rPr>
                <w:szCs w:val="18"/>
              </w:rPr>
              <w:t>Community- Based Healthcare Insurance Schemes</w:t>
            </w:r>
          </w:p>
        </w:tc>
        <w:tc>
          <w:tcPr>
            <w:tcW w:w="7178" w:type="dxa"/>
            <w:tcBorders>
              <w:top w:val="single" w:sz="2" w:space="0" w:color="9CC2E5"/>
              <w:left w:val="single" w:sz="2" w:space="0" w:color="9CC2E5"/>
              <w:bottom w:val="single" w:sz="2" w:space="0" w:color="9CC2E5"/>
            </w:tcBorders>
            <w:shd w:val="clear" w:color="auto" w:fill="8ACC8E"/>
          </w:tcPr>
          <w:p w14:paraId="6DA6A70E" w14:textId="77777777" w:rsidR="00086021" w:rsidRDefault="009E19AB" w:rsidP="003729E7">
            <w:pPr>
              <w:pStyle w:val="TableContents"/>
              <w:jc w:val="both"/>
              <w:rPr>
                <w:szCs w:val="18"/>
              </w:rPr>
            </w:pPr>
            <w:r>
              <w:rPr>
                <w:szCs w:val="18"/>
              </w:rPr>
              <w:t>Community- based health care insurance schemes (CBHIS) are a form of micro health insurance targeted at low-income groups who are excluded from mainstream commercial and social insurance schemes due to high premiums (Kamau &amp; Njiru, 2014). Individuals within the organized body/community contribute to the premiums levied within the CBI schemes for the guarantee of a limited benefit package. The government and donor entities may also contribute to the resources (Pablo Gottret, George Schieber, 2006).</w:t>
            </w:r>
          </w:p>
          <w:p w14:paraId="2D63C377" w14:textId="77777777" w:rsidR="00086021" w:rsidRDefault="00086021" w:rsidP="003729E7">
            <w:pPr>
              <w:pStyle w:val="TableContents"/>
              <w:jc w:val="both"/>
              <w:rPr>
                <w:szCs w:val="18"/>
              </w:rPr>
            </w:pPr>
          </w:p>
          <w:p w14:paraId="674E7DFA" w14:textId="77777777" w:rsidR="00086021" w:rsidRDefault="009E19AB" w:rsidP="003729E7">
            <w:pPr>
              <w:pStyle w:val="TableContents"/>
              <w:jc w:val="both"/>
              <w:rPr>
                <w:szCs w:val="18"/>
              </w:rPr>
            </w:pPr>
            <w:r>
              <w:rPr>
                <w:szCs w:val="18"/>
              </w:rPr>
              <w:t>CBHI schemes charge a single flat contribution, either per person or per household (Oxfam, 2013). This way, they are considered regressive with poor households proportionately paying more from their incomes relative to the rich households (Okech, 2014).</w:t>
            </w:r>
          </w:p>
        </w:tc>
      </w:tr>
      <w:tr w:rsidR="00086021" w14:paraId="3EC6258B" w14:textId="77777777" w:rsidTr="003729E7">
        <w:tc>
          <w:tcPr>
            <w:tcW w:w="1838" w:type="dxa"/>
            <w:tcBorders>
              <w:top w:val="single" w:sz="2" w:space="0" w:color="9CC2E5"/>
              <w:bottom w:val="single" w:sz="2" w:space="0" w:color="9CC2E5"/>
              <w:right w:val="single" w:sz="2" w:space="0" w:color="9CC2E5"/>
            </w:tcBorders>
          </w:tcPr>
          <w:p w14:paraId="47306ED1" w14:textId="77777777" w:rsidR="00086021" w:rsidRDefault="009E19AB" w:rsidP="003729E7">
            <w:pPr>
              <w:pStyle w:val="TableContents"/>
              <w:rPr>
                <w:szCs w:val="18"/>
              </w:rPr>
            </w:pPr>
            <w:r>
              <w:rPr>
                <w:szCs w:val="18"/>
              </w:rPr>
              <w:t>Devolution</w:t>
            </w:r>
          </w:p>
        </w:tc>
        <w:tc>
          <w:tcPr>
            <w:tcW w:w="7178" w:type="dxa"/>
            <w:tcBorders>
              <w:top w:val="single" w:sz="2" w:space="0" w:color="9CC2E5"/>
              <w:left w:val="single" w:sz="2" w:space="0" w:color="9CC2E5"/>
              <w:bottom w:val="single" w:sz="2" w:space="0" w:color="9CC2E5"/>
            </w:tcBorders>
          </w:tcPr>
          <w:p w14:paraId="2818140E" w14:textId="77777777" w:rsidR="00086021" w:rsidRDefault="009E19AB" w:rsidP="003729E7">
            <w:pPr>
              <w:pStyle w:val="TableContents"/>
              <w:jc w:val="both"/>
              <w:rPr>
                <w:szCs w:val="18"/>
              </w:rPr>
            </w:pPr>
            <w:r>
              <w:rPr>
                <w:rFonts w:cs="Times New Roman"/>
                <w:szCs w:val="18"/>
              </w:rPr>
              <w:t xml:space="preserve">The transfer of decision-making powers and resources from national to subnational governments, which allows for some autonomy and accountability at local levels but also requires clarity on roles and responsibilities at the different levels; adjusting for capacity, including the ability to achieve economies of scale; and an understanding that local and national priorities (e.g. for preventive actions) may differ </w:t>
            </w:r>
            <w:r>
              <w:fldChar w:fldCharType="begin"/>
            </w:r>
            <w:r>
              <w:rPr>
                <w:szCs w:val="18"/>
              </w:rPr>
              <w:instrText>ADDIN CSL_CITATION {"citationItems":[{"id":"ITEM-1","itemData":{"abstract":"WHO/UCH/HGF/PolicyBrief/19.6","author":[{"dropping-particle":"","family":"Mathauer","given":"Inke","non-dropping-particle":"","parse-names":false,"suffix":""},{"dropping-particle":"","family":"Dale","given":"Elina","non-dropping-particle":"","parse-names":false,"suffix":""},{"dropping-particle":"","family":"Jowett","given":"Matthew","non-dropping-particle":"","parse-names":false,"suffix":""},{"dropping-particle":"","family":"Kutzin","given":"Joe","non-dropping-particle":"","parse-names":false,"suffix":""}],"id":"ITEM-1","issued":{"date-parts":[["2019"]]},"page":"21","title":"Purchasing Health Services for Universal Health Coverage: How To Make It More Strategic?","type":"article"},"uris":["http://www.mendeley.com/documents/?uuid=41204758-f177-4612-82c6-ad94fece1dfa"]}],"mendeley":{"formattedCitation":"(Mathauer et al. 2019)","plainTextFormattedCitation":"(Mathauer et al. 2019)","previouslyFormattedCitation":"(Mathauer et al. 2019)"},"properties":{"noteIndex":0},"schema":"https://github.com/citation-style-language/schema/raw/master/csl-citation.json"}</w:instrText>
            </w:r>
            <w:r>
              <w:rPr>
                <w:szCs w:val="18"/>
              </w:rPr>
              <w:fldChar w:fldCharType="separate"/>
            </w:r>
            <w:r>
              <w:rPr>
                <w:rFonts w:cs="Times New Roman"/>
                <w:szCs w:val="18"/>
              </w:rPr>
              <w:t>(Mathauer et al. 2019)</w:t>
            </w:r>
            <w:r>
              <w:rPr>
                <w:szCs w:val="18"/>
              </w:rPr>
              <w:fldChar w:fldCharType="end"/>
            </w:r>
            <w:r>
              <w:rPr>
                <w:rFonts w:cs="Times New Roman"/>
                <w:szCs w:val="18"/>
              </w:rPr>
              <w:t>.</w:t>
            </w:r>
          </w:p>
        </w:tc>
      </w:tr>
      <w:tr w:rsidR="00086021" w14:paraId="4F23C730" w14:textId="77777777" w:rsidTr="003729E7">
        <w:tc>
          <w:tcPr>
            <w:tcW w:w="1838" w:type="dxa"/>
            <w:tcBorders>
              <w:top w:val="single" w:sz="2" w:space="0" w:color="9CC2E5"/>
              <w:bottom w:val="single" w:sz="2" w:space="0" w:color="9CC2E5"/>
              <w:right w:val="single" w:sz="2" w:space="0" w:color="9CC2E5"/>
            </w:tcBorders>
            <w:shd w:val="clear" w:color="auto" w:fill="8ACC8E"/>
          </w:tcPr>
          <w:p w14:paraId="529B11C6" w14:textId="77777777" w:rsidR="00086021" w:rsidRDefault="009E19AB" w:rsidP="003729E7">
            <w:pPr>
              <w:pStyle w:val="TableContents"/>
              <w:rPr>
                <w:szCs w:val="18"/>
              </w:rPr>
            </w:pPr>
            <w:r>
              <w:rPr>
                <w:szCs w:val="18"/>
              </w:rPr>
              <w:t>Government Health Expenditure (GHE)</w:t>
            </w:r>
          </w:p>
        </w:tc>
        <w:tc>
          <w:tcPr>
            <w:tcW w:w="7178" w:type="dxa"/>
            <w:tcBorders>
              <w:top w:val="single" w:sz="2" w:space="0" w:color="9CC2E5"/>
              <w:left w:val="single" w:sz="2" w:space="0" w:color="9CC2E5"/>
              <w:bottom w:val="single" w:sz="2" w:space="0" w:color="9CC2E5"/>
            </w:tcBorders>
            <w:shd w:val="clear" w:color="auto" w:fill="8ACC8E"/>
          </w:tcPr>
          <w:p w14:paraId="2205AF53" w14:textId="77777777" w:rsidR="00086021" w:rsidRDefault="009E19AB" w:rsidP="003729E7">
            <w:pPr>
              <w:pStyle w:val="TableContents"/>
              <w:jc w:val="both"/>
              <w:rPr>
                <w:szCs w:val="18"/>
              </w:rPr>
            </w:pPr>
            <w:r>
              <w:rPr>
                <w:szCs w:val="18"/>
              </w:rPr>
              <w:t>The amount of money spent on health by the government (national and county level).</w:t>
            </w:r>
          </w:p>
        </w:tc>
      </w:tr>
      <w:tr w:rsidR="00086021" w14:paraId="10711BC4" w14:textId="77777777" w:rsidTr="003729E7">
        <w:tc>
          <w:tcPr>
            <w:tcW w:w="1838" w:type="dxa"/>
            <w:tcBorders>
              <w:top w:val="single" w:sz="2" w:space="0" w:color="9CC2E5"/>
              <w:bottom w:val="single" w:sz="2" w:space="0" w:color="9CC2E5"/>
              <w:right w:val="single" w:sz="2" w:space="0" w:color="9CC2E5"/>
            </w:tcBorders>
          </w:tcPr>
          <w:p w14:paraId="2A9D5395" w14:textId="77777777" w:rsidR="00086021" w:rsidRDefault="009E19AB" w:rsidP="003729E7">
            <w:pPr>
              <w:pStyle w:val="TableContents"/>
              <w:rPr>
                <w:szCs w:val="18"/>
              </w:rPr>
            </w:pPr>
            <w:r>
              <w:rPr>
                <w:szCs w:val="18"/>
              </w:rPr>
              <w:t>Gross Domestic Product (GDP)</w:t>
            </w:r>
          </w:p>
        </w:tc>
        <w:tc>
          <w:tcPr>
            <w:tcW w:w="7178" w:type="dxa"/>
            <w:tcBorders>
              <w:top w:val="single" w:sz="2" w:space="0" w:color="9CC2E5"/>
              <w:left w:val="single" w:sz="2" w:space="0" w:color="9CC2E5"/>
              <w:bottom w:val="single" w:sz="2" w:space="0" w:color="9CC2E5"/>
            </w:tcBorders>
          </w:tcPr>
          <w:p w14:paraId="709C381E" w14:textId="77777777" w:rsidR="00086021" w:rsidRDefault="009E19AB" w:rsidP="003729E7">
            <w:pPr>
              <w:pStyle w:val="TableContents"/>
              <w:jc w:val="both"/>
              <w:rPr>
                <w:szCs w:val="18"/>
              </w:rPr>
            </w:pPr>
            <w:r>
              <w:rPr>
                <w:szCs w:val="18"/>
              </w:rPr>
              <w:t>The total value of goods and services produced in a country. GDP as an economic indicator is used worldwide to show the economic health of a country.</w:t>
            </w:r>
          </w:p>
          <w:p w14:paraId="3421D18F" w14:textId="77777777" w:rsidR="00086021" w:rsidRDefault="00086021" w:rsidP="003729E7">
            <w:pPr>
              <w:pStyle w:val="TableContents"/>
              <w:jc w:val="both"/>
              <w:rPr>
                <w:szCs w:val="18"/>
              </w:rPr>
            </w:pPr>
          </w:p>
        </w:tc>
      </w:tr>
      <w:tr w:rsidR="00086021" w14:paraId="468E6FD2" w14:textId="77777777" w:rsidTr="003729E7">
        <w:tc>
          <w:tcPr>
            <w:tcW w:w="1838" w:type="dxa"/>
            <w:tcBorders>
              <w:top w:val="single" w:sz="2" w:space="0" w:color="9CC2E5"/>
              <w:bottom w:val="single" w:sz="2" w:space="0" w:color="9CC2E5"/>
              <w:right w:val="single" w:sz="2" w:space="0" w:color="9CC2E5"/>
            </w:tcBorders>
            <w:shd w:val="clear" w:color="auto" w:fill="8ACC8E"/>
          </w:tcPr>
          <w:p w14:paraId="5E42E63F" w14:textId="77777777" w:rsidR="00086021" w:rsidRDefault="009E19AB" w:rsidP="003729E7">
            <w:pPr>
              <w:pStyle w:val="TableContents"/>
              <w:rPr>
                <w:szCs w:val="18"/>
              </w:rPr>
            </w:pPr>
            <w:r>
              <w:rPr>
                <w:szCs w:val="18"/>
              </w:rPr>
              <w:t>National Health Accounts (System of Health Accounts)</w:t>
            </w:r>
          </w:p>
        </w:tc>
        <w:tc>
          <w:tcPr>
            <w:tcW w:w="7178" w:type="dxa"/>
            <w:tcBorders>
              <w:top w:val="single" w:sz="2" w:space="0" w:color="9CC2E5"/>
              <w:left w:val="single" w:sz="2" w:space="0" w:color="9CC2E5"/>
              <w:bottom w:val="single" w:sz="2" w:space="0" w:color="9CC2E5"/>
            </w:tcBorders>
            <w:shd w:val="clear" w:color="auto" w:fill="8ACC8E"/>
          </w:tcPr>
          <w:p w14:paraId="4787F9FE" w14:textId="77777777" w:rsidR="00086021" w:rsidRDefault="009E19AB" w:rsidP="003729E7">
            <w:pPr>
              <w:pStyle w:val="TableContents"/>
              <w:jc w:val="both"/>
              <w:rPr>
                <w:szCs w:val="18"/>
              </w:rPr>
            </w:pPr>
            <w:r>
              <w:rPr>
                <w:szCs w:val="18"/>
              </w:rPr>
              <w:t>A process through which countries monitor the flow of money in their health sector. The WHO has been looking at the perspective of health financing and coordinating efforts at the global level to produce those estimates for every country.</w:t>
            </w:r>
          </w:p>
        </w:tc>
      </w:tr>
      <w:tr w:rsidR="00086021" w14:paraId="11A49C63" w14:textId="77777777" w:rsidTr="003729E7">
        <w:tc>
          <w:tcPr>
            <w:tcW w:w="1838" w:type="dxa"/>
            <w:tcBorders>
              <w:top w:val="single" w:sz="2" w:space="0" w:color="9CC2E5"/>
              <w:bottom w:val="single" w:sz="2" w:space="0" w:color="9CC2E5"/>
              <w:right w:val="single" w:sz="2" w:space="0" w:color="9CC2E5"/>
            </w:tcBorders>
          </w:tcPr>
          <w:p w14:paraId="6164B05E" w14:textId="77777777" w:rsidR="00086021" w:rsidRDefault="009E19AB" w:rsidP="003729E7">
            <w:pPr>
              <w:pStyle w:val="TableContents"/>
              <w:rPr>
                <w:szCs w:val="18"/>
              </w:rPr>
            </w:pPr>
            <w:r>
              <w:rPr>
                <w:szCs w:val="18"/>
              </w:rPr>
              <w:t>Private Health Insurance</w:t>
            </w:r>
          </w:p>
        </w:tc>
        <w:tc>
          <w:tcPr>
            <w:tcW w:w="7178" w:type="dxa"/>
            <w:tcBorders>
              <w:top w:val="single" w:sz="2" w:space="0" w:color="9CC2E5"/>
              <w:left w:val="single" w:sz="2" w:space="0" w:color="9CC2E5"/>
              <w:bottom w:val="single" w:sz="2" w:space="0" w:color="9CC2E5"/>
            </w:tcBorders>
          </w:tcPr>
          <w:p w14:paraId="6ECEE142" w14:textId="77777777" w:rsidR="00086021" w:rsidRDefault="009E19AB" w:rsidP="003729E7">
            <w:pPr>
              <w:pStyle w:val="TableContents"/>
              <w:jc w:val="both"/>
              <w:rPr>
                <w:szCs w:val="18"/>
              </w:rPr>
            </w:pPr>
            <w:r>
              <w:rPr>
                <w:rFonts w:eastAsia="Abadi Extra Light" w:cs="Abadi Extra Light"/>
                <w:szCs w:val="18"/>
                <w:highlight w:val="white"/>
              </w:rPr>
              <w:t>In private health insurance, contributions or premiums are risk-related and are voluntary and contributory. Individuals or groups of individuals pay premiums that are related to their risks only.</w:t>
            </w:r>
            <w:r>
              <w:rPr>
                <w:rFonts w:eastAsia="Abadi Extra Light" w:cs="Abadi Extra Light"/>
                <w:szCs w:val="18"/>
              </w:rPr>
              <w:t xml:space="preserve"> </w:t>
            </w:r>
            <w:r>
              <w:rPr>
                <w:rFonts w:eastAsia="Abadi Extra Light" w:cs="Abadi Extra Light"/>
                <w:szCs w:val="18"/>
                <w:highlight w:val="white"/>
              </w:rPr>
              <w:t>Private health insurance can be run by for profit companies or non-profit organizations.</w:t>
            </w:r>
          </w:p>
        </w:tc>
      </w:tr>
      <w:tr w:rsidR="00086021" w14:paraId="686CAE8F" w14:textId="77777777" w:rsidTr="003729E7">
        <w:tc>
          <w:tcPr>
            <w:tcW w:w="1838" w:type="dxa"/>
            <w:tcBorders>
              <w:top w:val="single" w:sz="2" w:space="0" w:color="9CC2E5"/>
              <w:bottom w:val="single" w:sz="2" w:space="0" w:color="9CC2E5"/>
              <w:right w:val="single" w:sz="2" w:space="0" w:color="9CC2E5"/>
            </w:tcBorders>
            <w:shd w:val="clear" w:color="auto" w:fill="8ACC8E"/>
          </w:tcPr>
          <w:p w14:paraId="73103BBB" w14:textId="77777777" w:rsidR="00086021" w:rsidRDefault="009E19AB" w:rsidP="003729E7">
            <w:pPr>
              <w:pStyle w:val="TableContents"/>
              <w:rPr>
                <w:szCs w:val="18"/>
              </w:rPr>
            </w:pPr>
            <w:r>
              <w:rPr>
                <w:szCs w:val="18"/>
              </w:rPr>
              <w:t>Social Health Insurance</w:t>
            </w:r>
          </w:p>
        </w:tc>
        <w:tc>
          <w:tcPr>
            <w:tcW w:w="7178" w:type="dxa"/>
            <w:tcBorders>
              <w:top w:val="single" w:sz="2" w:space="0" w:color="9CC2E5"/>
              <w:left w:val="single" w:sz="2" w:space="0" w:color="9CC2E5"/>
              <w:bottom w:val="single" w:sz="2" w:space="0" w:color="9CC2E5"/>
            </w:tcBorders>
            <w:shd w:val="clear" w:color="auto" w:fill="8ACC8E"/>
          </w:tcPr>
          <w:p w14:paraId="50D076DC" w14:textId="77777777" w:rsidR="00086021" w:rsidRDefault="009E19AB" w:rsidP="003729E7">
            <w:pPr>
              <w:pStyle w:val="TableContents"/>
              <w:jc w:val="both"/>
              <w:rPr>
                <w:szCs w:val="18"/>
              </w:rPr>
            </w:pPr>
            <w:r>
              <w:rPr>
                <w:szCs w:val="18"/>
              </w:rPr>
              <w:t>Social health insurance systems are generally characterized by independent or quasi-independent insurance funds, a reliance on mandatory earmarked payroll contributions (usually from individuals and employers), and a clear link between these contributions and the right to a defined package of health benefits (Pablo Gottret, George Schieber, 2006)</w:t>
            </w:r>
          </w:p>
        </w:tc>
      </w:tr>
      <w:tr w:rsidR="00086021" w14:paraId="1690FF2B" w14:textId="77777777" w:rsidTr="003729E7">
        <w:tc>
          <w:tcPr>
            <w:tcW w:w="1838" w:type="dxa"/>
            <w:tcBorders>
              <w:top w:val="single" w:sz="2" w:space="0" w:color="9CC2E5"/>
              <w:bottom w:val="single" w:sz="2" w:space="0" w:color="9CC2E5"/>
              <w:right w:val="single" w:sz="2" w:space="0" w:color="9CC2E5"/>
            </w:tcBorders>
          </w:tcPr>
          <w:p w14:paraId="2C719F95" w14:textId="77777777" w:rsidR="00086021" w:rsidRDefault="009E19AB" w:rsidP="003729E7">
            <w:pPr>
              <w:pStyle w:val="TableContents"/>
              <w:rPr>
                <w:szCs w:val="18"/>
              </w:rPr>
            </w:pPr>
            <w:r>
              <w:rPr>
                <w:szCs w:val="18"/>
              </w:rPr>
              <w:t>Tax-Based systems</w:t>
            </w:r>
          </w:p>
        </w:tc>
        <w:tc>
          <w:tcPr>
            <w:tcW w:w="7178" w:type="dxa"/>
            <w:tcBorders>
              <w:top w:val="single" w:sz="2" w:space="0" w:color="9CC2E5"/>
              <w:left w:val="single" w:sz="2" w:space="0" w:color="9CC2E5"/>
              <w:bottom w:val="single" w:sz="2" w:space="0" w:color="9CC2E5"/>
            </w:tcBorders>
          </w:tcPr>
          <w:p w14:paraId="1E03E5BB" w14:textId="77777777" w:rsidR="00086021" w:rsidRDefault="009E19AB" w:rsidP="003729E7">
            <w:pPr>
              <w:pStyle w:val="TableContents"/>
              <w:jc w:val="both"/>
              <w:rPr>
                <w:szCs w:val="18"/>
              </w:rPr>
            </w:pPr>
            <w:r>
              <w:rPr>
                <w:szCs w:val="18"/>
              </w:rPr>
              <w:t>Tax-Based systems are those in which more than half of public expenditure is financed through revenues other than earmarked payroll taxes (</w:t>
            </w:r>
            <w:proofErr w:type="gramStart"/>
            <w:r>
              <w:rPr>
                <w:szCs w:val="18"/>
              </w:rPr>
              <w:t>i.e.</w:t>
            </w:r>
            <w:proofErr w:type="gramEnd"/>
            <w:r>
              <w:rPr>
                <w:szCs w:val="18"/>
              </w:rPr>
              <w:t xml:space="preserve"> to distinguish it from social security or social health insurance), and in which access to publicly-financed services is, at least formally, open to all citizens (WHO, 2015). Tax-based health financing systems generally have three main features. First, their primary funding comes from general revenues. Second, they provide medical coverage to the country’s entire population. Third, their services are delivered through a network of public providers (Pablo Gottret, George Schieber, 2006).</w:t>
            </w:r>
          </w:p>
        </w:tc>
      </w:tr>
      <w:tr w:rsidR="00086021" w14:paraId="30419FD2" w14:textId="77777777" w:rsidTr="003729E7">
        <w:tc>
          <w:tcPr>
            <w:tcW w:w="1838" w:type="dxa"/>
            <w:tcBorders>
              <w:top w:val="single" w:sz="2" w:space="0" w:color="9CC2E5"/>
              <w:bottom w:val="single" w:sz="2" w:space="0" w:color="9CC2E5"/>
              <w:right w:val="single" w:sz="2" w:space="0" w:color="9CC2E5"/>
            </w:tcBorders>
            <w:shd w:val="clear" w:color="auto" w:fill="8ACC8E"/>
          </w:tcPr>
          <w:p w14:paraId="5399CBFE" w14:textId="77777777" w:rsidR="00086021" w:rsidRDefault="009E19AB" w:rsidP="003729E7">
            <w:pPr>
              <w:pStyle w:val="TableContents"/>
              <w:rPr>
                <w:szCs w:val="18"/>
              </w:rPr>
            </w:pPr>
            <w:r>
              <w:rPr>
                <w:szCs w:val="18"/>
              </w:rPr>
              <w:t>Total Health Expenditure (THE)</w:t>
            </w:r>
          </w:p>
        </w:tc>
        <w:tc>
          <w:tcPr>
            <w:tcW w:w="7178" w:type="dxa"/>
            <w:tcBorders>
              <w:top w:val="single" w:sz="2" w:space="0" w:color="9CC2E5"/>
              <w:left w:val="single" w:sz="2" w:space="0" w:color="9CC2E5"/>
              <w:bottom w:val="single" w:sz="2" w:space="0" w:color="9CC2E5"/>
            </w:tcBorders>
            <w:shd w:val="clear" w:color="auto" w:fill="8ACC8E"/>
          </w:tcPr>
          <w:p w14:paraId="4E33B207" w14:textId="77777777" w:rsidR="00086021" w:rsidRDefault="009E19AB" w:rsidP="003729E7">
            <w:pPr>
              <w:pStyle w:val="TableContents"/>
              <w:jc w:val="both"/>
              <w:rPr>
                <w:szCs w:val="18"/>
              </w:rPr>
            </w:pPr>
            <w:r>
              <w:rPr>
                <w:szCs w:val="18"/>
              </w:rPr>
              <w:t>The total amount of money spent on health from all sources including government, households, donors etc.</w:t>
            </w:r>
          </w:p>
        </w:tc>
      </w:tr>
      <w:tr w:rsidR="00086021" w14:paraId="40702749" w14:textId="77777777" w:rsidTr="003729E7">
        <w:tc>
          <w:tcPr>
            <w:tcW w:w="1838" w:type="dxa"/>
            <w:tcBorders>
              <w:top w:val="single" w:sz="2" w:space="0" w:color="9CC2E5"/>
              <w:bottom w:val="single" w:sz="2" w:space="0" w:color="9CC2E5"/>
              <w:right w:val="single" w:sz="2" w:space="0" w:color="9CC2E5"/>
            </w:tcBorders>
          </w:tcPr>
          <w:p w14:paraId="609CF6A1" w14:textId="77777777" w:rsidR="00086021" w:rsidRDefault="009E19AB" w:rsidP="003729E7">
            <w:pPr>
              <w:pStyle w:val="TableContents"/>
              <w:rPr>
                <w:szCs w:val="18"/>
              </w:rPr>
            </w:pPr>
            <w:r>
              <w:rPr>
                <w:szCs w:val="18"/>
              </w:rPr>
              <w:t>Universal Health Coverage</w:t>
            </w:r>
          </w:p>
        </w:tc>
        <w:tc>
          <w:tcPr>
            <w:tcW w:w="7178" w:type="dxa"/>
            <w:tcBorders>
              <w:top w:val="single" w:sz="2" w:space="0" w:color="9CC2E5"/>
              <w:left w:val="single" w:sz="2" w:space="0" w:color="9CC2E5"/>
              <w:bottom w:val="single" w:sz="2" w:space="0" w:color="9CC2E5"/>
            </w:tcBorders>
          </w:tcPr>
          <w:p w14:paraId="00AE794D" w14:textId="77777777" w:rsidR="00086021" w:rsidRDefault="009E19AB" w:rsidP="003729E7">
            <w:pPr>
              <w:pStyle w:val="TableContents"/>
              <w:jc w:val="both"/>
              <w:rPr>
                <w:szCs w:val="18"/>
              </w:rPr>
            </w:pPr>
            <w:r>
              <w:rPr>
                <w:rFonts w:cs="Times New Roman"/>
                <w:szCs w:val="18"/>
              </w:rPr>
              <w:t xml:space="preserve">All individuals and communities have access to the essential, needed health services (whether promotive, preventive, curative, rehabilitative or palliative) of sufficient quality to be effective in improving health, without suffering financial hardship (i.e. everyone who needs services should receive them, not only those who can pay for them, and the cost of using services does not put people at risk of financial harm </w:t>
            </w:r>
            <w:r>
              <w:fldChar w:fldCharType="begin"/>
            </w:r>
            <w:r>
              <w:rPr>
                <w:szCs w:val="18"/>
              </w:rPr>
              <w:instrText>ADDIN CSL_CITATION {"citationItems":[{"id":"ITEM-1","itemData":{"URL":"https://www.who.int/news-room/fact-sheets/detail/universal-health-coverage-(uhc)","accessed":{"date-parts":[["2020","2","20"]]},"author":[{"dropping-particle":"","family":"WHO","given":"","non-dropping-particle":"","parse-names":false,"suffix":""}],"id":"ITEM-1","issued":{"date-parts":[["2019"]]},"title":"Universal health coverage (UHC) Fact Sheet","type":"webpage"},"uris":["http://www.mendeley.com/documents/?uuid=a30758b6-dbf6-3b01-bfe6-4dd8369d9d67"]},{"id":"ITEM-2","itemData":{"URL":"https://www.who.int/health_financing/universal_coverage_definition/en/","accessed":{"date-parts":[["2020","5","30"]]},"author":[{"dropping-particle":"","family":"WHO","given":"","non-dropping-particle":"","parse-names":false,"suffix":""}],"id":"ITEM-2","issued":{"date-parts":[["2019"]]},"title":"What is universal coverage?","type":"webpage"},"uris":["http://www.mendeley.com/documents/?uuid=54e67e3f-f99a-3c6b-b3f1-23c34355f1f0"]}],"mendeley":{"formattedCitation":"(WHO 2019e; 2019f)","plainTextFormattedCitation":"(WHO 2019e; 2019f)","previouslyFormattedCitation":"(WHO 2019e; 2019f)"},"properties":{"noteIndex":0},"schema":"https://github.com/citation-style-language/schema/raw/master/csl-citation.json"}</w:instrText>
            </w:r>
            <w:r>
              <w:rPr>
                <w:szCs w:val="18"/>
              </w:rPr>
              <w:fldChar w:fldCharType="separate"/>
            </w:r>
            <w:r>
              <w:rPr>
                <w:rFonts w:cs="Times New Roman"/>
                <w:szCs w:val="18"/>
              </w:rPr>
              <w:t>(WHO 2019e; 2019f)</w:t>
            </w:r>
            <w:r>
              <w:rPr>
                <w:szCs w:val="18"/>
              </w:rPr>
              <w:fldChar w:fldCharType="end"/>
            </w:r>
          </w:p>
        </w:tc>
      </w:tr>
    </w:tbl>
    <w:p w14:paraId="299FEAB9" w14:textId="77777777" w:rsidR="00086021" w:rsidRDefault="00086021"/>
    <w:p w14:paraId="76FC79EB" w14:textId="77777777" w:rsidR="00086021" w:rsidRDefault="00086021"/>
    <w:p w14:paraId="4EDE2DD9" w14:textId="77777777" w:rsidR="00086021" w:rsidRDefault="00086021"/>
    <w:p w14:paraId="3C91B2E0" w14:textId="77777777" w:rsidR="00086021" w:rsidRDefault="00086021"/>
    <w:p w14:paraId="3C881B6F" w14:textId="77777777" w:rsidR="00086021" w:rsidRDefault="00086021"/>
    <w:p w14:paraId="4C9145EB" w14:textId="77777777" w:rsidR="00086021" w:rsidRDefault="009E19AB">
      <w:r>
        <w:br w:type="page"/>
      </w:r>
    </w:p>
    <w:p w14:paraId="7C3424FB" w14:textId="5D87854F" w:rsidR="00086021" w:rsidRDefault="009E19AB">
      <w:pPr>
        <w:pStyle w:val="Heading2"/>
      </w:pPr>
      <w:r>
        <w:lastRenderedPageBreak/>
        <w:t>Acknowledgements</w:t>
      </w:r>
    </w:p>
    <w:p w14:paraId="3312036A" w14:textId="77777777" w:rsidR="00B30196" w:rsidRPr="00B30196" w:rsidRDefault="00B30196" w:rsidP="00B30196">
      <w:pPr>
        <w:rPr>
          <w:lang w:val="nl-NL"/>
        </w:rPr>
      </w:pPr>
    </w:p>
    <w:p w14:paraId="27922F22" w14:textId="2AFA8D07" w:rsidR="00B30196" w:rsidRDefault="2808AEB0" w:rsidP="003729E7">
      <w:pPr>
        <w:pStyle w:val="BodyText"/>
        <w:jc w:val="both"/>
        <w:rPr>
          <w:sz w:val="20"/>
          <w:szCs w:val="20"/>
        </w:rPr>
      </w:pPr>
      <w:r w:rsidRPr="2808AEB0">
        <w:rPr>
          <w:sz w:val="20"/>
          <w:szCs w:val="20"/>
        </w:rPr>
        <w:t xml:space="preserve">LVCT Kenya is sincerely grateful to the consultancy team that worked on the Situational Analysis Report; Dr. Mike Mulongo (Lead Consultant) Mr. Pascal Irungu (Consultant), and Dr. Lizah Nyawira (Associate Consultant). We appreciate our analysts Ms. Wanja Muriu and Mr. Abubaker Kalule for the in-depth analysis of the background material for the report. </w:t>
      </w:r>
    </w:p>
    <w:p w14:paraId="56F0FB7E" w14:textId="3321C150" w:rsidR="00B30196" w:rsidRDefault="2808AEB0" w:rsidP="003729E7">
      <w:pPr>
        <w:pStyle w:val="BodyText"/>
        <w:jc w:val="both"/>
        <w:rPr>
          <w:sz w:val="20"/>
          <w:szCs w:val="20"/>
        </w:rPr>
      </w:pPr>
      <w:r w:rsidRPr="2808AEB0">
        <w:rPr>
          <w:sz w:val="20"/>
          <w:szCs w:val="20"/>
        </w:rPr>
        <w:t xml:space="preserve">We also acknowledge the contribution and hard work of the core team that toiled to see the success of the development of this situational analysis report. Specifically, we wish to acknowledge Ms. Wanja Ngure (PITCH), Ms. Patriciah Jeckoniah (LVCT Health), Ms. Maryline Mireku (LVCT Health), Ms. Stephanie Finlayson (Frontline AIDS, and Ms. Nyasha Chingore (AIDS and Rights Alliance for Southern Africa) for astute leadership and guidance during the curriculum development. </w:t>
      </w:r>
    </w:p>
    <w:p w14:paraId="32788E1B" w14:textId="0B798502" w:rsidR="00086021" w:rsidRDefault="009E19AB" w:rsidP="003729E7">
      <w:pPr>
        <w:pStyle w:val="BodyText"/>
        <w:jc w:val="both"/>
        <w:rPr>
          <w:sz w:val="20"/>
          <w:szCs w:val="20"/>
        </w:rPr>
      </w:pPr>
      <w:r>
        <w:rPr>
          <w:sz w:val="20"/>
          <w:szCs w:val="20"/>
        </w:rPr>
        <w:t xml:space="preserve">We are grateful to PITCH for the funding that supported this </w:t>
      </w:r>
      <w:r w:rsidR="00B30196">
        <w:rPr>
          <w:sz w:val="20"/>
          <w:szCs w:val="20"/>
        </w:rPr>
        <w:t>Situational Analysis Report.</w:t>
      </w:r>
    </w:p>
    <w:p w14:paraId="4FF056E5" w14:textId="52427FBC" w:rsidR="00427B15" w:rsidRDefault="00427B15">
      <w:pPr>
        <w:pStyle w:val="BodyText"/>
        <w:rPr>
          <w:sz w:val="20"/>
          <w:szCs w:val="20"/>
        </w:rPr>
      </w:pPr>
    </w:p>
    <w:p w14:paraId="5C2B2264" w14:textId="7DD34106" w:rsidR="00427B15" w:rsidRDefault="00427B15">
      <w:pPr>
        <w:pStyle w:val="BodyText"/>
        <w:rPr>
          <w:sz w:val="20"/>
          <w:szCs w:val="20"/>
        </w:rPr>
      </w:pPr>
    </w:p>
    <w:p w14:paraId="2C727632" w14:textId="3E2D2F1C" w:rsidR="00427B15" w:rsidRDefault="00427B15">
      <w:pPr>
        <w:pStyle w:val="BodyText"/>
        <w:rPr>
          <w:sz w:val="20"/>
          <w:szCs w:val="20"/>
        </w:rPr>
      </w:pPr>
    </w:p>
    <w:p w14:paraId="667521EE" w14:textId="36A3A2B8" w:rsidR="00427B15" w:rsidRDefault="00427B15">
      <w:pPr>
        <w:pStyle w:val="BodyText"/>
        <w:rPr>
          <w:sz w:val="20"/>
          <w:szCs w:val="20"/>
        </w:rPr>
      </w:pPr>
    </w:p>
    <w:p w14:paraId="3EA63EF7" w14:textId="0ACA6692" w:rsidR="00427B15" w:rsidRDefault="00427B15">
      <w:pPr>
        <w:pStyle w:val="BodyText"/>
        <w:rPr>
          <w:sz w:val="20"/>
          <w:szCs w:val="20"/>
        </w:rPr>
      </w:pPr>
    </w:p>
    <w:p w14:paraId="11CDA48A" w14:textId="192E1023" w:rsidR="00427B15" w:rsidRDefault="00427B15">
      <w:pPr>
        <w:pStyle w:val="BodyText"/>
        <w:rPr>
          <w:sz w:val="20"/>
          <w:szCs w:val="20"/>
        </w:rPr>
      </w:pPr>
    </w:p>
    <w:p w14:paraId="172DC591" w14:textId="5200FDA7" w:rsidR="00427B15" w:rsidRDefault="00427B15">
      <w:pPr>
        <w:pStyle w:val="BodyText"/>
        <w:rPr>
          <w:sz w:val="20"/>
          <w:szCs w:val="20"/>
        </w:rPr>
      </w:pPr>
    </w:p>
    <w:p w14:paraId="0B0FCF6E" w14:textId="789567AE" w:rsidR="00427B15" w:rsidRDefault="00427B15">
      <w:pPr>
        <w:pStyle w:val="BodyText"/>
        <w:rPr>
          <w:sz w:val="20"/>
          <w:szCs w:val="20"/>
        </w:rPr>
      </w:pPr>
    </w:p>
    <w:p w14:paraId="16B76B4F" w14:textId="159C7B29" w:rsidR="00427B15" w:rsidRDefault="00427B15">
      <w:pPr>
        <w:pStyle w:val="BodyText"/>
        <w:rPr>
          <w:sz w:val="20"/>
          <w:szCs w:val="20"/>
        </w:rPr>
      </w:pPr>
    </w:p>
    <w:p w14:paraId="2F2D95FC" w14:textId="02DF9FF8" w:rsidR="00427B15" w:rsidRDefault="00427B15">
      <w:pPr>
        <w:pStyle w:val="BodyText"/>
        <w:rPr>
          <w:sz w:val="20"/>
          <w:szCs w:val="20"/>
        </w:rPr>
      </w:pPr>
    </w:p>
    <w:p w14:paraId="5808A224" w14:textId="5E412FFF" w:rsidR="00427B15" w:rsidRDefault="00427B15">
      <w:pPr>
        <w:pStyle w:val="BodyText"/>
        <w:rPr>
          <w:sz w:val="20"/>
          <w:szCs w:val="20"/>
        </w:rPr>
      </w:pPr>
    </w:p>
    <w:p w14:paraId="05DB3038" w14:textId="44D57B02" w:rsidR="00427B15" w:rsidRDefault="00427B15">
      <w:pPr>
        <w:pStyle w:val="BodyText"/>
        <w:rPr>
          <w:sz w:val="20"/>
          <w:szCs w:val="20"/>
        </w:rPr>
      </w:pPr>
    </w:p>
    <w:p w14:paraId="2D36396B" w14:textId="5236714A" w:rsidR="00427B15" w:rsidRDefault="00427B15">
      <w:pPr>
        <w:pStyle w:val="BodyText"/>
        <w:rPr>
          <w:sz w:val="20"/>
          <w:szCs w:val="20"/>
        </w:rPr>
      </w:pPr>
    </w:p>
    <w:p w14:paraId="2BF0AA10" w14:textId="1E65C42B" w:rsidR="00427B15" w:rsidRPr="00427B15" w:rsidRDefault="00427B15" w:rsidP="00427B15">
      <w:pPr>
        <w:pStyle w:val="BodyText"/>
        <w:rPr>
          <w:sz w:val="20"/>
          <w:szCs w:val="20"/>
        </w:rPr>
      </w:pPr>
      <w:r w:rsidRPr="00427B15">
        <w:rPr>
          <w:sz w:val="20"/>
          <w:szCs w:val="20"/>
        </w:rPr>
        <w:t>© PITCH &amp; LVCT Health, 2020</w:t>
      </w:r>
    </w:p>
    <w:p w14:paraId="4AB8E45B" w14:textId="77777777" w:rsidR="00427B15" w:rsidRPr="00427B15" w:rsidRDefault="00427B15" w:rsidP="00427B15">
      <w:pPr>
        <w:pStyle w:val="BodyText"/>
        <w:rPr>
          <w:b/>
          <w:sz w:val="20"/>
          <w:szCs w:val="20"/>
        </w:rPr>
      </w:pPr>
      <w:r w:rsidRPr="00427B15">
        <w:rPr>
          <w:b/>
          <w:sz w:val="20"/>
          <w:szCs w:val="20"/>
        </w:rPr>
        <w:t>Rights &amp; Permissions</w:t>
      </w:r>
    </w:p>
    <w:p w14:paraId="7C2B3C94" w14:textId="54AD7B73" w:rsidR="00427B15" w:rsidRPr="00427B15" w:rsidRDefault="2808AEB0" w:rsidP="003729E7">
      <w:pPr>
        <w:pStyle w:val="BodyText"/>
        <w:jc w:val="both"/>
        <w:rPr>
          <w:sz w:val="20"/>
          <w:szCs w:val="20"/>
        </w:rPr>
      </w:pPr>
      <w:r w:rsidRPr="2808AEB0">
        <w:rPr>
          <w:sz w:val="20"/>
          <w:szCs w:val="20"/>
        </w:rPr>
        <w:t>This Situational Analysis Report was prepared by Dr. Caleb Mike Mulongo, Mr. Pascal Irungu and Dr. Lizah Nyawira on behalf of PITCH &amp; LVCT Health with the support of Frontline AIDS and ARASA. It is therefore a joint copyright of PITCH &amp; LVCT Health, Frontline AIDS and ARASA.</w:t>
      </w:r>
    </w:p>
    <w:p w14:paraId="680DE6CD" w14:textId="53FD89CD" w:rsidR="2808AEB0" w:rsidRDefault="2808AEB0" w:rsidP="003729E7">
      <w:pPr>
        <w:pStyle w:val="BodyText"/>
        <w:jc w:val="both"/>
        <w:rPr>
          <w:sz w:val="20"/>
          <w:szCs w:val="20"/>
        </w:rPr>
      </w:pPr>
      <w:r w:rsidRPr="2808AEB0">
        <w:rPr>
          <w:sz w:val="20"/>
          <w:szCs w:val="20"/>
        </w:rPr>
        <w:t>Cover page photo credit: Isla Haddow-Flood, Wikimedia Commons</w:t>
      </w:r>
    </w:p>
    <w:p w14:paraId="5A2AF031" w14:textId="6E805979" w:rsidR="00427B15" w:rsidRDefault="00427B15" w:rsidP="003729E7">
      <w:pPr>
        <w:pStyle w:val="BodyText"/>
        <w:jc w:val="both"/>
      </w:pPr>
      <w:r w:rsidRPr="00427B15">
        <w:rPr>
          <w:b/>
          <w:sz w:val="20"/>
          <w:szCs w:val="20"/>
        </w:rPr>
        <w:t>Citation:</w:t>
      </w:r>
      <w:r w:rsidRPr="00427B15">
        <w:rPr>
          <w:sz w:val="20"/>
          <w:szCs w:val="20"/>
        </w:rPr>
        <w:t xml:space="preserve"> PITCH (2020). Health Financing Situational Analysis Report: Domestic Resource Mobilization for Key Populations (KPs) and Adolescents, Girls &amp; Young Women (AGYW) in Kenya. </w:t>
      </w:r>
    </w:p>
    <w:p w14:paraId="7B93DF6C" w14:textId="08201797" w:rsidR="00086021" w:rsidRDefault="00086021" w:rsidP="003729E7">
      <w:pPr>
        <w:spacing w:line="276" w:lineRule="auto"/>
        <w:jc w:val="both"/>
      </w:pPr>
    </w:p>
    <w:p w14:paraId="72EF1DAE" w14:textId="77777777" w:rsidR="00086021" w:rsidRDefault="009E19AB">
      <w:pPr>
        <w:spacing w:line="276" w:lineRule="auto"/>
        <w:rPr>
          <w:sz w:val="20"/>
          <w:szCs w:val="20"/>
        </w:rPr>
      </w:pPr>
      <w:r>
        <w:br w:type="page"/>
      </w:r>
    </w:p>
    <w:p w14:paraId="5A528855" w14:textId="7F1D1ABF" w:rsidR="00086021" w:rsidRDefault="0010403D">
      <w:pPr>
        <w:spacing w:line="276" w:lineRule="auto"/>
        <w:rPr>
          <w:sz w:val="20"/>
          <w:szCs w:val="20"/>
        </w:rPr>
      </w:pPr>
      <w:r>
        <w:rPr>
          <w:noProof/>
          <w:sz w:val="20"/>
          <w:szCs w:val="20"/>
        </w:rPr>
        <w:lastRenderedPageBreak/>
        <w:drawing>
          <wp:anchor distT="0" distB="0" distL="0" distR="0" simplePos="0" relativeHeight="5" behindDoc="0" locked="0" layoutInCell="1" allowOverlap="1" wp14:anchorId="6883E08C" wp14:editId="7D1758FA">
            <wp:simplePos x="0" y="0"/>
            <wp:positionH relativeFrom="column">
              <wp:posOffset>3484245</wp:posOffset>
            </wp:positionH>
            <wp:positionV relativeFrom="paragraph">
              <wp:posOffset>4954905</wp:posOffset>
            </wp:positionV>
            <wp:extent cx="1976120" cy="1553210"/>
            <wp:effectExtent l="0" t="0" r="0" b="0"/>
            <wp:wrapSquare wrapText="largest"/>
            <wp:docPr id="53"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4"/>
                    <pic:cNvPicPr>
                      <a:picLocks noChangeAspect="1" noChangeArrowheads="1"/>
                    </pic:cNvPicPr>
                  </pic:nvPicPr>
                  <pic:blipFill>
                    <a:blip r:embed="rId84"/>
                    <a:srcRect r="2972" b="1976"/>
                    <a:stretch>
                      <a:fillRect/>
                    </a:stretch>
                  </pic:blipFill>
                  <pic:spPr bwMode="auto">
                    <a:xfrm>
                      <a:off x="0" y="0"/>
                      <a:ext cx="1976120" cy="1553210"/>
                    </a:xfrm>
                    <a:prstGeom prst="rect">
                      <a:avLst/>
                    </a:prstGeom>
                  </pic:spPr>
                </pic:pic>
              </a:graphicData>
            </a:graphic>
          </wp:anchor>
        </w:drawing>
      </w:r>
      <w:r>
        <w:rPr>
          <w:noProof/>
          <w:sz w:val="20"/>
          <w:szCs w:val="20"/>
        </w:rPr>
        <w:drawing>
          <wp:anchor distT="0" distB="0" distL="0" distR="0" simplePos="0" relativeHeight="4" behindDoc="1" locked="0" layoutInCell="1" allowOverlap="1" wp14:anchorId="5C3F779B" wp14:editId="6AF32FAC">
            <wp:simplePos x="0" y="0"/>
            <wp:positionH relativeFrom="column">
              <wp:posOffset>147955</wp:posOffset>
            </wp:positionH>
            <wp:positionV relativeFrom="paragraph">
              <wp:posOffset>5057775</wp:posOffset>
            </wp:positionV>
            <wp:extent cx="2585085" cy="1452880"/>
            <wp:effectExtent l="0" t="0" r="5715" b="0"/>
            <wp:wrapSquare wrapText="largest"/>
            <wp:docPr id="5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
                    <pic:cNvPicPr>
                      <a:picLocks noChangeAspect="1" noChangeArrowheads="1"/>
                    </pic:cNvPicPr>
                  </pic:nvPicPr>
                  <pic:blipFill>
                    <a:blip r:embed="rId85"/>
                    <a:srcRect l="4065" t="8632" r="7048" b="24083"/>
                    <a:stretch>
                      <a:fillRect/>
                    </a:stretch>
                  </pic:blipFill>
                  <pic:spPr bwMode="auto">
                    <a:xfrm>
                      <a:off x="0" y="0"/>
                      <a:ext cx="2585085" cy="1452880"/>
                    </a:xfrm>
                    <a:prstGeom prst="rect">
                      <a:avLst/>
                    </a:prstGeom>
                  </pic:spPr>
                </pic:pic>
              </a:graphicData>
            </a:graphic>
            <wp14:sizeRelH relativeFrom="margin">
              <wp14:pctWidth>0</wp14:pctWidth>
            </wp14:sizeRelH>
            <wp14:sizeRelV relativeFrom="margin">
              <wp14:pctHeight>0</wp14:pctHeight>
            </wp14:sizeRelV>
          </wp:anchor>
        </w:drawing>
      </w:r>
      <w:r>
        <w:rPr>
          <w:noProof/>
          <w:sz w:val="20"/>
          <w:szCs w:val="20"/>
        </w:rPr>
        <w:drawing>
          <wp:anchor distT="0" distB="0" distL="0" distR="0" simplePos="0" relativeHeight="6" behindDoc="0" locked="0" layoutInCell="1" allowOverlap="1" wp14:anchorId="08F11BE6" wp14:editId="18105851">
            <wp:simplePos x="0" y="0"/>
            <wp:positionH relativeFrom="column">
              <wp:posOffset>1619250</wp:posOffset>
            </wp:positionH>
            <wp:positionV relativeFrom="paragraph">
              <wp:posOffset>3095625</wp:posOffset>
            </wp:positionV>
            <wp:extent cx="2181225" cy="1447800"/>
            <wp:effectExtent l="0" t="0" r="9525" b="0"/>
            <wp:wrapSquare wrapText="largest"/>
            <wp:docPr id="54"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
                    <pic:cNvPicPr>
                      <a:picLocks noChangeAspect="1" noChangeArrowheads="1"/>
                    </pic:cNvPicPr>
                  </pic:nvPicPr>
                  <pic:blipFill>
                    <a:blip r:embed="rId86"/>
                    <a:stretch>
                      <a:fillRect/>
                    </a:stretch>
                  </pic:blipFill>
                  <pic:spPr bwMode="auto">
                    <a:xfrm>
                      <a:off x="0" y="0"/>
                      <a:ext cx="2181225" cy="1447800"/>
                    </a:xfrm>
                    <a:prstGeom prst="rect">
                      <a:avLst/>
                    </a:prstGeom>
                  </pic:spPr>
                </pic:pic>
              </a:graphicData>
            </a:graphic>
            <wp14:sizeRelH relativeFrom="margin">
              <wp14:pctWidth>0</wp14:pctWidth>
            </wp14:sizeRelH>
            <wp14:sizeRelV relativeFrom="margin">
              <wp14:pctHeight>0</wp14:pctHeight>
            </wp14:sizeRelV>
          </wp:anchor>
        </w:drawing>
      </w:r>
    </w:p>
    <w:sectPr w:rsidR="00086021">
      <w:headerReference w:type="default" r:id="rId87"/>
      <w:footerReference w:type="default" r:id="rId88"/>
      <w:pgSz w:w="11906" w:h="16838"/>
      <w:pgMar w:top="1440" w:right="1440" w:bottom="1198" w:left="1440" w:header="0" w:footer="708" w:gutter="0"/>
      <w:cols w:space="720"/>
      <w:formProt w:val="0"/>
      <w:docGrid w:linePitch="286"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5F0023" w14:textId="77777777" w:rsidR="00821BB4" w:rsidRDefault="00821BB4">
      <w:r>
        <w:separator/>
      </w:r>
    </w:p>
  </w:endnote>
  <w:endnote w:type="continuationSeparator" w:id="0">
    <w:p w14:paraId="4970F396" w14:textId="77777777" w:rsidR="00821BB4" w:rsidRDefault="00821B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Utopia Std">
    <w:altName w:val="Cambria"/>
    <w:charset w:val="01"/>
    <w:family w:val="roman"/>
    <w:pitch w:val="variable"/>
  </w:font>
  <w:font w:name="Roboto Light">
    <w:charset w:val="01"/>
    <w:family w:val="roman"/>
    <w:pitch w:val="variable"/>
  </w:font>
  <w:font w:name="Yu Mincho">
    <w:charset w:val="80"/>
    <w:family w:val="roman"/>
    <w:pitch w:val="variable"/>
    <w:sig w:usb0="800002E7" w:usb1="2AC7FCFF" w:usb2="00000012" w:usb3="00000000" w:csb0="0002009F" w:csb1="00000000"/>
  </w:font>
  <w:font w:name="Liberation Sans">
    <w:altName w:val="Arial"/>
    <w:charset w:val="01"/>
    <w:family w:val="roman"/>
    <w:pitch w:val="variable"/>
  </w:font>
  <w:font w:name="PingFang SC">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Gill Sans MT">
    <w:panose1 w:val="020B0502020104020203"/>
    <w:charset w:val="00"/>
    <w:family w:val="swiss"/>
    <w:pitch w:val="variable"/>
    <w:sig w:usb0="00000007" w:usb1="00000000" w:usb2="00000000" w:usb3="00000000" w:csb0="00000003" w:csb1="00000000"/>
  </w:font>
  <w:font w:name="FF Mark Pro AF Book">
    <w:altName w:val="Cambria"/>
    <w:charset w:val="01"/>
    <w:family w:val="roman"/>
    <w:pitch w:val="variable"/>
  </w:font>
  <w:font w:name="Abadi Extra Light">
    <w:altName w:val="Abadi Extra Light"/>
    <w:charset w:val="00"/>
    <w:family w:val="swiss"/>
    <w:pitch w:val="variable"/>
    <w:sig w:usb0="8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Franklin Gothic">
    <w:altName w:val="Calibri"/>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Franklin Gothic Demi">
    <w:panose1 w:val="020B0703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B5817" w14:textId="5480FF37" w:rsidR="00B81FD0" w:rsidRDefault="00B81FD0">
    <w:pPr>
      <w:pStyle w:val="Footer"/>
    </w:pPr>
    <w:r>
      <w:rPr>
        <w:noProof/>
      </w:rPr>
      <w:drawing>
        <wp:inline distT="0" distB="0" distL="0" distR="0" wp14:anchorId="73CBBBDE" wp14:editId="4F210B64">
          <wp:extent cx="5401945" cy="790575"/>
          <wp:effectExtent l="0" t="0" r="8255" b="9525"/>
          <wp:docPr id="58" name="Picture 3" descr="A close up of a logo&#10;&#10;Description automatically generated">
            <a:extLst xmlns:a="http://schemas.openxmlformats.org/drawingml/2006/main">
              <a:ext uri="{FF2B5EF4-FFF2-40B4-BE49-F238E27FC236}">
                <a16:creationId xmlns:a16="http://schemas.microsoft.com/office/drawing/2014/main" id="{7CEC0596-2AC1-4135-88A0-B5E0778DC7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close up of a logo&#10;&#10;Description automatically generated">
                    <a:extLst>
                      <a:ext uri="{FF2B5EF4-FFF2-40B4-BE49-F238E27FC236}">
                        <a16:creationId xmlns:a16="http://schemas.microsoft.com/office/drawing/2014/main" id="{7CEC0596-2AC1-4135-88A0-B5E0778DC7DC}"/>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01945" cy="790575"/>
                  </a:xfrm>
                  <a:prstGeom prst="rect">
                    <a:avLst/>
                  </a:prstGeom>
                </pic:spPr>
              </pic:pic>
            </a:graphicData>
          </a:graphic>
        </wp:inline>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417AEA" w14:textId="77777777" w:rsidR="00B81FD0" w:rsidRDefault="00B81FD0">
    <w:pPr>
      <w:pStyle w:val="Footer"/>
    </w:pPr>
    <w:r>
      <w:fldChar w:fldCharType="begin"/>
    </w:r>
    <w:r>
      <w:instrText>PAGE</w:instrText>
    </w:r>
    <w:r>
      <w:fldChar w:fldCharType="separate"/>
    </w:r>
    <w:r>
      <w:t>19</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99FBBD" w14:textId="77777777" w:rsidR="00B81FD0" w:rsidRDefault="00B81FD0">
    <w:pPr>
      <w:pStyle w:val="Footer"/>
    </w:pPr>
    <w:r>
      <w:fldChar w:fldCharType="begin"/>
    </w:r>
    <w:r>
      <w:instrText>PAGE</w:instrText>
    </w:r>
    <w:r>
      <w:fldChar w:fldCharType="separate"/>
    </w:r>
    <w:r>
      <w:t>38</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B92CC9" w14:textId="77777777" w:rsidR="00B81FD0" w:rsidRDefault="00B81FD0"/>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BB3727" w14:textId="77777777" w:rsidR="00B81FD0" w:rsidRDefault="00B81FD0">
    <w:pPr>
      <w:pStyle w:val="Footer"/>
    </w:pPr>
    <w:r>
      <w:fldChar w:fldCharType="begin"/>
    </w:r>
    <w:r>
      <w:instrText>PAGE</w:instrText>
    </w:r>
    <w:r>
      <w:fldChar w:fldCharType="separate"/>
    </w:r>
    <w:r>
      <w:t>40</w:t>
    </w:r>
    <w: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69B3EB" w14:textId="77777777" w:rsidR="00B81FD0" w:rsidRDefault="00B81FD0">
    <w:pPr>
      <w:pStyle w:val="Footer"/>
    </w:pPr>
    <w:r>
      <w:fldChar w:fldCharType="begin"/>
    </w:r>
    <w:r>
      <w:instrText>PAGE</w:instrText>
    </w:r>
    <w:r>
      <w:fldChar w:fldCharType="separate"/>
    </w:r>
    <w:r>
      <w:t>52</w:t>
    </w:r>
    <w: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EAFC69" w14:textId="77777777" w:rsidR="00B81FD0" w:rsidRDefault="00B81FD0">
    <w:pPr>
      <w:pStyle w:val="Footer"/>
    </w:pPr>
    <w:r>
      <w:fldChar w:fldCharType="begin"/>
    </w:r>
    <w:r>
      <w:instrText>PAGE</w:instrText>
    </w:r>
    <w:r>
      <w:fldChar w:fldCharType="separate"/>
    </w:r>
    <w:r>
      <w:t>53</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30D49C" w14:textId="77777777" w:rsidR="00B81FD0" w:rsidRDefault="00B81FD0">
    <w:pPr>
      <w:pStyle w:val="Footer"/>
    </w:pPr>
    <w:r>
      <w:fldChar w:fldCharType="begin"/>
    </w:r>
    <w:r>
      <w:instrText>PAGE</w:instrText>
    </w:r>
    <w:r>
      <w:fldChar w:fldCharType="separate"/>
    </w:r>
    <w:r>
      <w:t>60</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1977F1" w14:textId="4120363A" w:rsidR="00B81FD0" w:rsidRDefault="00B81FD0" w:rsidP="00C80431">
    <w:pPr>
      <w:pStyle w:val="Footer"/>
      <w:tabs>
        <w:tab w:val="clear" w:pos="4680"/>
        <w:tab w:val="clear" w:pos="9360"/>
        <w:tab w:val="left" w:pos="7050"/>
      </w:tabs>
    </w:pPr>
    <w:r>
      <w:fldChar w:fldCharType="begin"/>
    </w:r>
    <w:r>
      <w:instrText>PAGE</w:instrText>
    </w:r>
    <w:r>
      <w:fldChar w:fldCharType="separate"/>
    </w:r>
    <w:r>
      <w:t>7</w:t>
    </w:r>
    <w:r>
      <w:fldChar w:fldCharType="end"/>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58CCF4" w14:textId="77777777" w:rsidR="00B81FD0" w:rsidRDefault="00B81FD0">
    <w:pPr>
      <w:pStyle w:val="Footer"/>
    </w:pPr>
    <w:r>
      <w:fldChar w:fldCharType="begin"/>
    </w:r>
    <w:r>
      <w:instrText>PAGE</w:instrText>
    </w:r>
    <w:r>
      <w:fldChar w:fldCharType="separate"/>
    </w:r>
    <w:r>
      <w:t>2</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1B3E1B" w14:textId="77777777" w:rsidR="00B81FD0" w:rsidRDefault="00B81FD0">
    <w:pPr>
      <w:pStyle w:val="Footer"/>
    </w:pPr>
    <w:r>
      <w:fldChar w:fldCharType="begin"/>
    </w:r>
    <w:r>
      <w:instrText>PAGE</w:instrText>
    </w:r>
    <w:r>
      <w:fldChar w:fldCharType="separate"/>
    </w:r>
    <w:r>
      <w:t>9</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9C3192" w14:textId="77777777" w:rsidR="00B81FD0" w:rsidRDefault="00B81FD0">
    <w:pPr>
      <w:pStyle w:val="Footer"/>
    </w:pPr>
    <w:r>
      <w:fldChar w:fldCharType="begin"/>
    </w:r>
    <w:r>
      <w:instrText>PAGE</w:instrText>
    </w:r>
    <w:r>
      <w:fldChar w:fldCharType="separate"/>
    </w:r>
    <w:r>
      <w:t>8</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D9A944" w14:textId="77777777" w:rsidR="00B81FD0" w:rsidRDefault="00B81FD0">
    <w:pPr>
      <w:pStyle w:val="Footer"/>
    </w:pPr>
    <w:r>
      <w:fldChar w:fldCharType="begin"/>
    </w:r>
    <w:r>
      <w:instrText>PAGE</w:instrText>
    </w:r>
    <w:r>
      <w:fldChar w:fldCharType="separate"/>
    </w:r>
    <w:r>
      <w:t>13</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3AC325" w14:textId="77777777" w:rsidR="00B81FD0" w:rsidRDefault="00B81FD0">
    <w:pPr>
      <w:pStyle w:val="Footer"/>
    </w:pPr>
    <w:r>
      <w:fldChar w:fldCharType="begin"/>
    </w:r>
    <w:r>
      <w:instrText>PAGE</w:instrText>
    </w:r>
    <w:r>
      <w:fldChar w:fldCharType="separate"/>
    </w:r>
    <w:r>
      <w:t>10</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956E9D" w14:textId="77777777" w:rsidR="00B81FD0" w:rsidRDefault="00B81FD0">
    <w:pPr>
      <w:pStyle w:val="Footer"/>
    </w:pPr>
    <w:r>
      <w:fldChar w:fldCharType="begin"/>
    </w:r>
    <w:r>
      <w:instrText>PAGE</w:instrText>
    </w:r>
    <w:r>
      <w:fldChar w:fldCharType="separate"/>
    </w:r>
    <w:r>
      <w:t>18</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8DCD76" w14:textId="77777777" w:rsidR="00B81FD0" w:rsidRDefault="00B81FD0">
    <w:pPr>
      <w:pStyle w:val="Footer"/>
    </w:pPr>
    <w:r>
      <w:fldChar w:fldCharType="begin"/>
    </w:r>
    <w:r>
      <w:instrText>PAGE</w:instrText>
    </w:r>
    <w:r>
      <w:fldChar w:fldCharType="separate"/>
    </w:r>
    <w:r>
      <w:t>35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1B276A" w14:textId="77777777" w:rsidR="00821BB4" w:rsidRDefault="00821BB4">
      <w:pPr>
        <w:rPr>
          <w:sz w:val="12"/>
        </w:rPr>
      </w:pPr>
      <w:r>
        <w:separator/>
      </w:r>
    </w:p>
  </w:footnote>
  <w:footnote w:type="continuationSeparator" w:id="0">
    <w:p w14:paraId="1E37FD7C" w14:textId="77777777" w:rsidR="00821BB4" w:rsidRDefault="00821BB4">
      <w:pPr>
        <w:rPr>
          <w:sz w:val="12"/>
        </w:rPr>
      </w:pPr>
      <w:r>
        <w:continuationSeparator/>
      </w:r>
    </w:p>
  </w:footnote>
  <w:footnote w:id="1">
    <w:p w14:paraId="1435EB1A" w14:textId="77777777" w:rsidR="00B81FD0" w:rsidRDefault="00B81FD0">
      <w:r>
        <w:rPr>
          <w:rStyle w:val="FootnoteCharacters"/>
        </w:rPr>
        <w:footnoteRef/>
      </w:r>
      <w:r>
        <w:rPr>
          <w:color w:val="000000"/>
          <w:sz w:val="20"/>
          <w:szCs w:val="20"/>
        </w:rPr>
        <w:t xml:space="preserve"> </w:t>
      </w:r>
      <w:r>
        <w:rPr>
          <w:rFonts w:ascii="Abadi Extra Light" w:eastAsia="Abadi Extra Light" w:hAnsi="Abadi Extra Light" w:cs="Abadi Extra Light"/>
          <w:color w:val="000000"/>
          <w:sz w:val="16"/>
          <w:szCs w:val="16"/>
        </w:rPr>
        <w:t>The EAC Monetary Union Protocol provides for fiscal convergence criteria, including a ceiling on the fiscal deficit (defined including grants) of 3 percent of GDP; and a ceiling on the gross public debt of 50 percent of GDP in net present value terms.</w:t>
      </w:r>
    </w:p>
  </w:footnote>
  <w:footnote w:id="2">
    <w:p w14:paraId="73890FBF" w14:textId="77777777" w:rsidR="00B81FD0" w:rsidRDefault="00B81FD0">
      <w:pPr>
        <w:jc w:val="both"/>
      </w:pPr>
      <w:r>
        <w:rPr>
          <w:rStyle w:val="FootnoteCharacters"/>
        </w:rPr>
        <w:footnoteRef/>
      </w:r>
      <w:r>
        <w:rPr>
          <w:szCs w:val="18"/>
        </w:rPr>
        <w:t xml:space="preserve"> </w:t>
      </w:r>
      <w:r>
        <w:rPr>
          <w:rFonts w:ascii="Abadi Extra Light" w:eastAsia="Abadi Extra Light" w:hAnsi="Abadi Extra Light" w:cs="Abadi Extra Light"/>
          <w:szCs w:val="18"/>
        </w:rPr>
        <w:t>The conversion rate of 108.3 was adopted based on the Central Bank of Kenya indicative exchange rate on 31</w:t>
      </w:r>
      <w:r>
        <w:rPr>
          <w:rFonts w:ascii="Abadi Extra Light" w:eastAsia="Abadi Extra Light" w:hAnsi="Abadi Extra Light" w:cs="Abadi Extra Light"/>
          <w:szCs w:val="18"/>
          <w:vertAlign w:val="superscript"/>
        </w:rPr>
        <w:t>st</w:t>
      </w:r>
      <w:r>
        <w:rPr>
          <w:rFonts w:ascii="Abadi Extra Light" w:eastAsia="Abadi Extra Light" w:hAnsi="Abadi Extra Light" w:cs="Abadi Extra Light"/>
          <w:szCs w:val="18"/>
        </w:rPr>
        <w:t xml:space="preserve"> </w:t>
      </w:r>
      <w:proofErr w:type="gramStart"/>
      <w:r>
        <w:rPr>
          <w:rFonts w:ascii="Abadi Extra Light" w:eastAsia="Abadi Extra Light" w:hAnsi="Abadi Extra Light" w:cs="Abadi Extra Light"/>
          <w:szCs w:val="18"/>
        </w:rPr>
        <w:t>August,</w:t>
      </w:r>
      <w:proofErr w:type="gramEnd"/>
      <w:r>
        <w:rPr>
          <w:rFonts w:ascii="Abadi Extra Light" w:eastAsia="Abadi Extra Light" w:hAnsi="Abadi Extra Light" w:cs="Abadi Extra Light"/>
          <w:szCs w:val="18"/>
        </w:rPr>
        <w:t xml:space="preserve"> 2020</w:t>
      </w:r>
    </w:p>
  </w:footnote>
  <w:footnote w:id="3">
    <w:p w14:paraId="6C2E0147" w14:textId="77777777" w:rsidR="00B81FD0" w:rsidRDefault="00B81FD0">
      <w:pPr>
        <w:jc w:val="both"/>
      </w:pPr>
      <w:r>
        <w:rPr>
          <w:rStyle w:val="FootnoteCharacters"/>
        </w:rPr>
        <w:footnoteRef/>
      </w:r>
      <w:r>
        <w:rPr>
          <w:rFonts w:ascii="Abadi Extra Light" w:eastAsia="Abadi Extra Light" w:hAnsi="Abadi Extra Light" w:cs="Abadi Extra Light"/>
          <w:sz w:val="16"/>
          <w:szCs w:val="16"/>
        </w:rPr>
        <w:t xml:space="preserve"> </w:t>
      </w:r>
      <w:r>
        <w:rPr>
          <w:rFonts w:ascii="Abadi Extra Light" w:eastAsia="Abadi Extra Light" w:hAnsi="Abadi Extra Light" w:cs="Abadi Extra Light"/>
          <w:color w:val="222222"/>
          <w:sz w:val="16"/>
          <w:szCs w:val="16"/>
          <w:highlight w:val="white"/>
        </w:rPr>
        <w:t>Off-budget funding refers to revenues, expenditures, or financial transactions that are excluded from the government budget, namely the direct allocations from donors to non-state actors that flow outside of the PFM system. Off-budget funds usually allow for greater flexibility on the part of non-state actors, who in budget execution can bypass cumbersome government processes.</w:t>
      </w:r>
    </w:p>
    <w:p w14:paraId="3BF3FA67" w14:textId="77777777" w:rsidR="00B81FD0" w:rsidRDefault="00B81FD0"/>
  </w:footnote>
  <w:footnote w:id="4">
    <w:p w14:paraId="19DA13C4" w14:textId="77777777" w:rsidR="00B81FD0" w:rsidRDefault="00B81FD0">
      <w:pPr>
        <w:rPr>
          <w:rFonts w:ascii="Abadi Extra Light" w:eastAsia="Abadi Extra Light" w:hAnsi="Abadi Extra Light" w:cs="Abadi Extra Light"/>
          <w:sz w:val="16"/>
          <w:szCs w:val="16"/>
        </w:rPr>
      </w:pPr>
      <w:r>
        <w:rPr>
          <w:rStyle w:val="FootnoteCharacters"/>
        </w:rPr>
        <w:footnoteRef/>
      </w:r>
      <w:r>
        <w:rPr>
          <w:rFonts w:ascii="Abadi Extra Light" w:eastAsia="Abadi Extra Light" w:hAnsi="Abadi Extra Light" w:cs="Abadi Extra Light"/>
          <w:sz w:val="16"/>
          <w:szCs w:val="16"/>
        </w:rPr>
        <w:t xml:space="preserve"> USAID and PEPFAR Funded Health Policy Plus in partnership with the Kenya School of Government conducted a training on Program Based Budgeting for an initial 12 counties including Nairobi, Kisumu, Nyeri, Isiolo, Bomet, Mombasa, Makueni, Turkana, Kakamega, Siaya, Migori &amp; Tharaka Nithi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564F74" w14:textId="77777777" w:rsidR="00B81FD0" w:rsidRDefault="00B81FD0">
    <w:pPr>
      <w:pStyle w:val="Header"/>
    </w:pPr>
    <w:r>
      <w:rPr>
        <w:noProof/>
      </w:rPr>
      <w:drawing>
        <wp:anchor distT="0" distB="0" distL="0" distR="0" simplePos="0" relativeHeight="251658240" behindDoc="1" locked="0" layoutInCell="1" allowOverlap="1" wp14:anchorId="11ED553F" wp14:editId="58EC15D8">
          <wp:simplePos x="0" y="0"/>
          <wp:positionH relativeFrom="page">
            <wp:posOffset>1270</wp:posOffset>
          </wp:positionH>
          <wp:positionV relativeFrom="page">
            <wp:posOffset>9525</wp:posOffset>
          </wp:positionV>
          <wp:extent cx="7559675" cy="10690225"/>
          <wp:effectExtent l="0" t="0" r="0" b="0"/>
          <wp:wrapNone/>
          <wp:docPr id="1"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
                  <pic:cNvPicPr>
                    <a:picLocks noChangeAspect="1" noChangeArrowheads="1"/>
                  </pic:cNvPicPr>
                </pic:nvPicPr>
                <pic:blipFill>
                  <a:blip r:embed="rId1"/>
                  <a:stretch>
                    <a:fillRect/>
                  </a:stretch>
                </pic:blipFill>
                <pic:spPr bwMode="auto">
                  <a:xfrm>
                    <a:off x="0" y="0"/>
                    <a:ext cx="7559675" cy="10690225"/>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C3D34A" w14:textId="77777777" w:rsidR="00B81FD0" w:rsidRDefault="00B81FD0"/>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615CF6" w14:textId="77777777" w:rsidR="00B81FD0" w:rsidRDefault="00B81FD0"/>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8B5AE0" w14:textId="77777777" w:rsidR="00B81FD0" w:rsidRDefault="00B81FD0"/>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F55985" w14:textId="77777777" w:rsidR="00B81FD0" w:rsidRDefault="00B81FD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4BB25" w14:textId="77777777" w:rsidR="00B81FD0" w:rsidRDefault="00B81FD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2A3D60" w14:textId="77777777" w:rsidR="00B81FD0" w:rsidRDefault="00B81FD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18F17" w14:textId="77777777" w:rsidR="00B81FD0" w:rsidRDefault="00B81FD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CE12BF" w14:textId="77777777" w:rsidR="00B81FD0" w:rsidRDefault="00B81FD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A28D13" w14:textId="77777777" w:rsidR="00B81FD0" w:rsidRDefault="00B81FD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D65E9C" w14:textId="77777777" w:rsidR="00B81FD0" w:rsidRDefault="00B81FD0"/>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4C211C" w14:textId="77777777" w:rsidR="00B81FD0" w:rsidRDefault="00B81FD0"/>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5C3479" w14:textId="77777777" w:rsidR="00B81FD0" w:rsidRDefault="00B81FD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00653"/>
    <w:multiLevelType w:val="multilevel"/>
    <w:tmpl w:val="7F681620"/>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0E7A154A"/>
    <w:multiLevelType w:val="multilevel"/>
    <w:tmpl w:val="EBE0A12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 w15:restartNumberingAfterBreak="0">
    <w:nsid w:val="109555E9"/>
    <w:multiLevelType w:val="multilevel"/>
    <w:tmpl w:val="24924E6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 w15:restartNumberingAfterBreak="0">
    <w:nsid w:val="151902AD"/>
    <w:multiLevelType w:val="hybridMultilevel"/>
    <w:tmpl w:val="8ED2B4FE"/>
    <w:lvl w:ilvl="0" w:tplc="20000017">
      <w:start w:val="1"/>
      <w:numFmt w:val="lowerLetter"/>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4" w15:restartNumberingAfterBreak="0">
    <w:nsid w:val="1B6F1DDC"/>
    <w:multiLevelType w:val="multilevel"/>
    <w:tmpl w:val="71928E80"/>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 w15:restartNumberingAfterBreak="0">
    <w:nsid w:val="21FC6B66"/>
    <w:multiLevelType w:val="multilevel"/>
    <w:tmpl w:val="FA86759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3843B1B"/>
    <w:multiLevelType w:val="multilevel"/>
    <w:tmpl w:val="819E016A"/>
    <w:lvl w:ilvl="0">
      <w:start w:val="1"/>
      <w:numFmt w:val="lowerLetter"/>
      <w:lvlText w:val="%1)"/>
      <w:lvlJc w:val="left"/>
      <w:pPr>
        <w:ind w:left="720" w:hanging="360"/>
      </w:pPr>
      <w:rPr>
        <w:rFonts w:ascii="Arial" w:hAnsi="Arial"/>
        <w:b/>
        <w:bCs/>
        <w:color w:val="595959"/>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Wingdings"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Symbol"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24C37B89"/>
    <w:multiLevelType w:val="multilevel"/>
    <w:tmpl w:val="01905506"/>
    <w:lvl w:ilvl="0">
      <w:start w:val="1"/>
      <w:numFmt w:val="lowerLetter"/>
      <w:lvlText w:val="%1)"/>
      <w:lvlJc w:val="left"/>
      <w:pPr>
        <w:ind w:left="360" w:hanging="360"/>
      </w:pPr>
      <w:rPr>
        <w:position w:val="0"/>
        <w:sz w:val="18"/>
        <w:vertAlign w:val="baseline"/>
      </w:rPr>
    </w:lvl>
    <w:lvl w:ilvl="1">
      <w:start w:val="1"/>
      <w:numFmt w:val="lowerLetter"/>
      <w:lvlText w:val="%2."/>
      <w:lvlJc w:val="left"/>
      <w:pPr>
        <w:ind w:left="1080" w:hanging="360"/>
      </w:pPr>
      <w:rPr>
        <w:position w:val="0"/>
        <w:sz w:val="18"/>
        <w:vertAlign w:val="baseline"/>
      </w:rPr>
    </w:lvl>
    <w:lvl w:ilvl="2">
      <w:start w:val="1"/>
      <w:numFmt w:val="lowerRoman"/>
      <w:lvlText w:val="%3."/>
      <w:lvlJc w:val="right"/>
      <w:pPr>
        <w:ind w:left="1800" w:hanging="180"/>
      </w:pPr>
      <w:rPr>
        <w:position w:val="0"/>
        <w:sz w:val="18"/>
        <w:vertAlign w:val="baseline"/>
      </w:rPr>
    </w:lvl>
    <w:lvl w:ilvl="3">
      <w:start w:val="1"/>
      <w:numFmt w:val="decimal"/>
      <w:lvlText w:val="%4."/>
      <w:lvlJc w:val="left"/>
      <w:pPr>
        <w:ind w:left="2520" w:hanging="360"/>
      </w:pPr>
      <w:rPr>
        <w:position w:val="0"/>
        <w:sz w:val="18"/>
        <w:vertAlign w:val="baseline"/>
      </w:rPr>
    </w:lvl>
    <w:lvl w:ilvl="4">
      <w:start w:val="1"/>
      <w:numFmt w:val="lowerLetter"/>
      <w:lvlText w:val="%5."/>
      <w:lvlJc w:val="left"/>
      <w:pPr>
        <w:ind w:left="3240" w:hanging="360"/>
      </w:pPr>
      <w:rPr>
        <w:position w:val="0"/>
        <w:sz w:val="18"/>
        <w:vertAlign w:val="baseline"/>
      </w:rPr>
    </w:lvl>
    <w:lvl w:ilvl="5">
      <w:start w:val="1"/>
      <w:numFmt w:val="lowerRoman"/>
      <w:lvlText w:val="%6."/>
      <w:lvlJc w:val="right"/>
      <w:pPr>
        <w:ind w:left="3960" w:hanging="180"/>
      </w:pPr>
      <w:rPr>
        <w:position w:val="0"/>
        <w:sz w:val="18"/>
        <w:vertAlign w:val="baseline"/>
      </w:rPr>
    </w:lvl>
    <w:lvl w:ilvl="6">
      <w:start w:val="1"/>
      <w:numFmt w:val="decimal"/>
      <w:lvlText w:val="%7."/>
      <w:lvlJc w:val="left"/>
      <w:pPr>
        <w:ind w:left="4680" w:hanging="360"/>
      </w:pPr>
      <w:rPr>
        <w:position w:val="0"/>
        <w:sz w:val="18"/>
        <w:vertAlign w:val="baseline"/>
      </w:rPr>
    </w:lvl>
    <w:lvl w:ilvl="7">
      <w:start w:val="1"/>
      <w:numFmt w:val="lowerLetter"/>
      <w:lvlText w:val="%8."/>
      <w:lvlJc w:val="left"/>
      <w:pPr>
        <w:ind w:left="5400" w:hanging="360"/>
      </w:pPr>
      <w:rPr>
        <w:position w:val="0"/>
        <w:sz w:val="18"/>
        <w:vertAlign w:val="baseline"/>
      </w:rPr>
    </w:lvl>
    <w:lvl w:ilvl="8">
      <w:start w:val="1"/>
      <w:numFmt w:val="lowerRoman"/>
      <w:lvlText w:val="%9."/>
      <w:lvlJc w:val="right"/>
      <w:pPr>
        <w:ind w:left="6120" w:hanging="180"/>
      </w:pPr>
      <w:rPr>
        <w:position w:val="0"/>
        <w:sz w:val="18"/>
        <w:vertAlign w:val="baseline"/>
      </w:rPr>
    </w:lvl>
  </w:abstractNum>
  <w:abstractNum w:abstractNumId="8" w15:restartNumberingAfterBreak="0">
    <w:nsid w:val="27C275D1"/>
    <w:multiLevelType w:val="multilevel"/>
    <w:tmpl w:val="566E4DA2"/>
    <w:lvl w:ilvl="0">
      <w:start w:val="1"/>
      <w:numFmt w:val="lowerRoman"/>
      <w:lvlText w:val="%1."/>
      <w:lvlJc w:val="left"/>
      <w:pPr>
        <w:tabs>
          <w:tab w:val="num" w:pos="720"/>
        </w:tabs>
        <w:ind w:left="720" w:hanging="360"/>
      </w:pPr>
      <w:rPr>
        <w:rFonts w:ascii="Arial" w:hAnsi="Arial"/>
        <w:b/>
        <w:bCs/>
        <w:color w:val="595959"/>
        <w:sz w:val="20"/>
        <w:szCs w:val="20"/>
      </w:rPr>
    </w:lvl>
    <w:lvl w:ilvl="1">
      <w:start w:val="1"/>
      <w:numFmt w:val="lowerRoman"/>
      <w:lvlText w:val="%2."/>
      <w:lvlJc w:val="left"/>
      <w:pPr>
        <w:tabs>
          <w:tab w:val="num" w:pos="1080"/>
        </w:tabs>
        <w:ind w:left="1080" w:hanging="360"/>
      </w:pPr>
      <w:rPr>
        <w:rFonts w:ascii="Arial" w:hAnsi="Arial"/>
        <w:b/>
        <w:bCs/>
        <w:color w:val="595959"/>
        <w:sz w:val="20"/>
        <w:szCs w:val="20"/>
      </w:rPr>
    </w:lvl>
    <w:lvl w:ilvl="2">
      <w:start w:val="1"/>
      <w:numFmt w:val="lowerRoman"/>
      <w:lvlText w:val="%3."/>
      <w:lvlJc w:val="left"/>
      <w:pPr>
        <w:tabs>
          <w:tab w:val="num" w:pos="1440"/>
        </w:tabs>
        <w:ind w:left="1440" w:hanging="360"/>
      </w:pPr>
      <w:rPr>
        <w:rFonts w:ascii="Arial" w:hAnsi="Arial"/>
        <w:b/>
        <w:bCs/>
        <w:color w:val="595959"/>
        <w:sz w:val="20"/>
        <w:szCs w:val="20"/>
      </w:rPr>
    </w:lvl>
    <w:lvl w:ilvl="3">
      <w:start w:val="1"/>
      <w:numFmt w:val="lowerRoman"/>
      <w:lvlText w:val="%4."/>
      <w:lvlJc w:val="left"/>
      <w:pPr>
        <w:tabs>
          <w:tab w:val="num" w:pos="1800"/>
        </w:tabs>
        <w:ind w:left="1800" w:hanging="360"/>
      </w:pPr>
      <w:rPr>
        <w:rFonts w:ascii="Arial" w:hAnsi="Arial"/>
        <w:b/>
        <w:bCs/>
        <w:color w:val="595959"/>
        <w:sz w:val="20"/>
        <w:szCs w:val="20"/>
      </w:rPr>
    </w:lvl>
    <w:lvl w:ilvl="4">
      <w:start w:val="1"/>
      <w:numFmt w:val="lowerRoman"/>
      <w:lvlText w:val="%5."/>
      <w:lvlJc w:val="left"/>
      <w:pPr>
        <w:tabs>
          <w:tab w:val="num" w:pos="2160"/>
        </w:tabs>
        <w:ind w:left="2160" w:hanging="360"/>
      </w:pPr>
      <w:rPr>
        <w:rFonts w:ascii="Arial" w:hAnsi="Arial"/>
        <w:b/>
        <w:bCs/>
        <w:color w:val="595959"/>
        <w:sz w:val="20"/>
        <w:szCs w:val="20"/>
      </w:rPr>
    </w:lvl>
    <w:lvl w:ilvl="5">
      <w:start w:val="1"/>
      <w:numFmt w:val="lowerRoman"/>
      <w:lvlText w:val="%6."/>
      <w:lvlJc w:val="left"/>
      <w:pPr>
        <w:tabs>
          <w:tab w:val="num" w:pos="2520"/>
        </w:tabs>
        <w:ind w:left="2520" w:hanging="360"/>
      </w:pPr>
      <w:rPr>
        <w:rFonts w:ascii="Arial" w:hAnsi="Arial"/>
        <w:b/>
        <w:bCs/>
        <w:color w:val="595959"/>
        <w:sz w:val="20"/>
        <w:szCs w:val="20"/>
      </w:rPr>
    </w:lvl>
    <w:lvl w:ilvl="6">
      <w:start w:val="1"/>
      <w:numFmt w:val="lowerRoman"/>
      <w:lvlText w:val="%7."/>
      <w:lvlJc w:val="left"/>
      <w:pPr>
        <w:tabs>
          <w:tab w:val="num" w:pos="2880"/>
        </w:tabs>
        <w:ind w:left="2880" w:hanging="360"/>
      </w:pPr>
      <w:rPr>
        <w:rFonts w:ascii="Arial" w:hAnsi="Arial"/>
        <w:b/>
        <w:bCs/>
        <w:color w:val="595959"/>
        <w:sz w:val="20"/>
        <w:szCs w:val="20"/>
      </w:rPr>
    </w:lvl>
    <w:lvl w:ilvl="7">
      <w:start w:val="1"/>
      <w:numFmt w:val="lowerRoman"/>
      <w:lvlText w:val="%8."/>
      <w:lvlJc w:val="left"/>
      <w:pPr>
        <w:tabs>
          <w:tab w:val="num" w:pos="3240"/>
        </w:tabs>
        <w:ind w:left="3240" w:hanging="360"/>
      </w:pPr>
      <w:rPr>
        <w:rFonts w:ascii="Arial" w:hAnsi="Arial"/>
        <w:b/>
        <w:bCs/>
        <w:color w:val="595959"/>
        <w:sz w:val="20"/>
        <w:szCs w:val="20"/>
      </w:rPr>
    </w:lvl>
    <w:lvl w:ilvl="8">
      <w:start w:val="1"/>
      <w:numFmt w:val="lowerRoman"/>
      <w:lvlText w:val="%9."/>
      <w:lvlJc w:val="left"/>
      <w:pPr>
        <w:tabs>
          <w:tab w:val="num" w:pos="3600"/>
        </w:tabs>
        <w:ind w:left="3600" w:hanging="360"/>
      </w:pPr>
      <w:rPr>
        <w:rFonts w:ascii="Arial" w:hAnsi="Arial"/>
        <w:b/>
        <w:bCs/>
        <w:color w:val="595959"/>
        <w:sz w:val="20"/>
        <w:szCs w:val="20"/>
      </w:rPr>
    </w:lvl>
  </w:abstractNum>
  <w:abstractNum w:abstractNumId="9" w15:restartNumberingAfterBreak="0">
    <w:nsid w:val="2C811638"/>
    <w:multiLevelType w:val="multilevel"/>
    <w:tmpl w:val="2C589936"/>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35570E44"/>
    <w:multiLevelType w:val="multilevel"/>
    <w:tmpl w:val="D6EE232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1" w15:restartNumberingAfterBreak="0">
    <w:nsid w:val="3C5E1C28"/>
    <w:multiLevelType w:val="multilevel"/>
    <w:tmpl w:val="CC0EECC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2" w15:restartNumberingAfterBreak="0">
    <w:nsid w:val="3E55116A"/>
    <w:multiLevelType w:val="multilevel"/>
    <w:tmpl w:val="6FE2987C"/>
    <w:lvl w:ilvl="0">
      <w:start w:val="1"/>
      <w:numFmt w:val="decimal"/>
      <w:lvlText w:val="%1."/>
      <w:lvlJc w:val="left"/>
      <w:pPr>
        <w:ind w:left="360" w:hanging="360"/>
      </w:pPr>
      <w:rPr>
        <w:rFonts w:ascii="Arial" w:hAnsi="Arial"/>
        <w:color w:val="595959"/>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43BC537C"/>
    <w:multiLevelType w:val="multilevel"/>
    <w:tmpl w:val="0018031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4" w15:restartNumberingAfterBreak="0">
    <w:nsid w:val="44C337F6"/>
    <w:multiLevelType w:val="multilevel"/>
    <w:tmpl w:val="4CE4473E"/>
    <w:lvl w:ilvl="0">
      <w:start w:val="1"/>
      <w:numFmt w:val="decimal"/>
      <w:lvlText w:val="%1)"/>
      <w:lvlJc w:val="left"/>
      <w:pPr>
        <w:ind w:left="360" w:hanging="360"/>
      </w:pPr>
      <w:rPr>
        <w:rFonts w:ascii="Arial" w:hAnsi="Arial"/>
        <w:b/>
        <w:bCs/>
        <w:color w:val="595959"/>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45FF14E4"/>
    <w:multiLevelType w:val="multilevel"/>
    <w:tmpl w:val="5B869D68"/>
    <w:lvl w:ilvl="0">
      <w:start w:val="1"/>
      <w:numFmt w:val="lowerLetter"/>
      <w:lvlText w:val="%1)"/>
      <w:lvlJc w:val="left"/>
      <w:pPr>
        <w:tabs>
          <w:tab w:val="num" w:pos="720"/>
        </w:tabs>
        <w:ind w:left="720" w:hanging="360"/>
      </w:pPr>
      <w:rPr>
        <w:rFonts w:ascii="Arial" w:hAnsi="Arial"/>
        <w:b/>
        <w:bCs/>
        <w:color w:val="595959"/>
        <w:sz w:val="20"/>
        <w:szCs w:val="20"/>
      </w:rPr>
    </w:lvl>
    <w:lvl w:ilvl="1">
      <w:start w:val="1"/>
      <w:numFmt w:val="lowerLetter"/>
      <w:lvlText w:val="%2)"/>
      <w:lvlJc w:val="left"/>
      <w:pPr>
        <w:tabs>
          <w:tab w:val="num" w:pos="1080"/>
        </w:tabs>
        <w:ind w:left="1080" w:hanging="360"/>
      </w:pPr>
      <w:rPr>
        <w:rFonts w:ascii="Arial" w:hAnsi="Arial"/>
        <w:b/>
        <w:bCs/>
        <w:color w:val="595959"/>
        <w:sz w:val="20"/>
        <w:szCs w:val="20"/>
      </w:rPr>
    </w:lvl>
    <w:lvl w:ilvl="2">
      <w:start w:val="1"/>
      <w:numFmt w:val="lowerLetter"/>
      <w:lvlText w:val="%3)"/>
      <w:lvlJc w:val="left"/>
      <w:pPr>
        <w:tabs>
          <w:tab w:val="num" w:pos="1440"/>
        </w:tabs>
        <w:ind w:left="1440" w:hanging="360"/>
      </w:pPr>
      <w:rPr>
        <w:rFonts w:ascii="Arial" w:hAnsi="Arial"/>
        <w:b/>
        <w:bCs/>
        <w:color w:val="595959"/>
        <w:sz w:val="20"/>
        <w:szCs w:val="20"/>
      </w:rPr>
    </w:lvl>
    <w:lvl w:ilvl="3">
      <w:start w:val="1"/>
      <w:numFmt w:val="lowerLetter"/>
      <w:lvlText w:val="%4)"/>
      <w:lvlJc w:val="left"/>
      <w:pPr>
        <w:tabs>
          <w:tab w:val="num" w:pos="1800"/>
        </w:tabs>
        <w:ind w:left="1800" w:hanging="360"/>
      </w:pPr>
      <w:rPr>
        <w:rFonts w:ascii="Arial" w:hAnsi="Arial"/>
        <w:b/>
        <w:bCs/>
        <w:color w:val="595959"/>
        <w:sz w:val="20"/>
        <w:szCs w:val="20"/>
      </w:rPr>
    </w:lvl>
    <w:lvl w:ilvl="4">
      <w:start w:val="1"/>
      <w:numFmt w:val="lowerLetter"/>
      <w:lvlText w:val="%5)"/>
      <w:lvlJc w:val="left"/>
      <w:pPr>
        <w:tabs>
          <w:tab w:val="num" w:pos="2160"/>
        </w:tabs>
        <w:ind w:left="2160" w:hanging="360"/>
      </w:pPr>
      <w:rPr>
        <w:rFonts w:ascii="Arial" w:hAnsi="Arial"/>
        <w:b/>
        <w:bCs/>
        <w:color w:val="595959"/>
        <w:sz w:val="20"/>
        <w:szCs w:val="20"/>
      </w:rPr>
    </w:lvl>
    <w:lvl w:ilvl="5">
      <w:start w:val="1"/>
      <w:numFmt w:val="lowerLetter"/>
      <w:lvlText w:val="%6)"/>
      <w:lvlJc w:val="left"/>
      <w:pPr>
        <w:tabs>
          <w:tab w:val="num" w:pos="2520"/>
        </w:tabs>
        <w:ind w:left="2520" w:hanging="360"/>
      </w:pPr>
      <w:rPr>
        <w:rFonts w:ascii="Arial" w:hAnsi="Arial"/>
        <w:b/>
        <w:bCs/>
        <w:color w:val="595959"/>
        <w:sz w:val="20"/>
        <w:szCs w:val="20"/>
      </w:rPr>
    </w:lvl>
    <w:lvl w:ilvl="6">
      <w:start w:val="1"/>
      <w:numFmt w:val="lowerLetter"/>
      <w:lvlText w:val="%7)"/>
      <w:lvlJc w:val="left"/>
      <w:pPr>
        <w:tabs>
          <w:tab w:val="num" w:pos="2880"/>
        </w:tabs>
        <w:ind w:left="2880" w:hanging="360"/>
      </w:pPr>
      <w:rPr>
        <w:rFonts w:ascii="Arial" w:hAnsi="Arial"/>
        <w:b/>
        <w:bCs/>
        <w:color w:val="595959"/>
        <w:sz w:val="20"/>
        <w:szCs w:val="20"/>
      </w:rPr>
    </w:lvl>
    <w:lvl w:ilvl="7">
      <w:start w:val="1"/>
      <w:numFmt w:val="lowerLetter"/>
      <w:lvlText w:val="%8)"/>
      <w:lvlJc w:val="left"/>
      <w:pPr>
        <w:tabs>
          <w:tab w:val="num" w:pos="3240"/>
        </w:tabs>
        <w:ind w:left="3240" w:hanging="360"/>
      </w:pPr>
      <w:rPr>
        <w:rFonts w:ascii="Arial" w:hAnsi="Arial"/>
        <w:b/>
        <w:bCs/>
        <w:color w:val="595959"/>
        <w:sz w:val="20"/>
        <w:szCs w:val="20"/>
      </w:rPr>
    </w:lvl>
    <w:lvl w:ilvl="8">
      <w:start w:val="1"/>
      <w:numFmt w:val="lowerLetter"/>
      <w:lvlText w:val="%9)"/>
      <w:lvlJc w:val="left"/>
      <w:pPr>
        <w:tabs>
          <w:tab w:val="num" w:pos="3600"/>
        </w:tabs>
        <w:ind w:left="3600" w:hanging="360"/>
      </w:pPr>
      <w:rPr>
        <w:rFonts w:ascii="Arial" w:hAnsi="Arial"/>
        <w:b/>
        <w:bCs/>
        <w:color w:val="595959"/>
        <w:sz w:val="20"/>
        <w:szCs w:val="20"/>
      </w:rPr>
    </w:lvl>
  </w:abstractNum>
  <w:abstractNum w:abstractNumId="16" w15:restartNumberingAfterBreak="0">
    <w:nsid w:val="4F1C2610"/>
    <w:multiLevelType w:val="multilevel"/>
    <w:tmpl w:val="F1AA93C6"/>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7" w15:restartNumberingAfterBreak="0">
    <w:nsid w:val="530C4ADD"/>
    <w:multiLevelType w:val="multilevel"/>
    <w:tmpl w:val="7506C9E6"/>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8" w15:restartNumberingAfterBreak="0">
    <w:nsid w:val="56000305"/>
    <w:multiLevelType w:val="multilevel"/>
    <w:tmpl w:val="2E2A686C"/>
    <w:lvl w:ilvl="0">
      <w:start w:val="1"/>
      <w:numFmt w:val="lowerRoman"/>
      <w:lvlText w:val="%1."/>
      <w:lvlJc w:val="left"/>
      <w:pPr>
        <w:ind w:left="720" w:hanging="360"/>
      </w:pPr>
      <w:rPr>
        <w:rFonts w:ascii="Arial" w:hAnsi="Arial"/>
        <w:b/>
        <w:bCs/>
        <w:color w:val="595959"/>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Wingdings"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15:restartNumberingAfterBreak="0">
    <w:nsid w:val="5CE32F18"/>
    <w:multiLevelType w:val="hybridMultilevel"/>
    <w:tmpl w:val="B85AC6F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5EB759D8"/>
    <w:multiLevelType w:val="multilevel"/>
    <w:tmpl w:val="F91C44E6"/>
    <w:lvl w:ilvl="0">
      <w:start w:val="1"/>
      <w:numFmt w:val="lowerLetter"/>
      <w:lvlText w:val="%1)"/>
      <w:lvlJc w:val="left"/>
      <w:pPr>
        <w:tabs>
          <w:tab w:val="num" w:pos="720"/>
        </w:tabs>
        <w:ind w:left="720" w:hanging="360"/>
      </w:pPr>
      <w:rPr>
        <w:rFonts w:ascii="Arial" w:hAnsi="Arial"/>
        <w:b/>
        <w:bCs/>
        <w:color w:val="595959"/>
        <w:sz w:val="20"/>
        <w:szCs w:val="20"/>
      </w:rPr>
    </w:lvl>
    <w:lvl w:ilvl="1">
      <w:start w:val="1"/>
      <w:numFmt w:val="decimal"/>
      <w:lvlText w:val="%2."/>
      <w:lvlJc w:val="left"/>
      <w:pPr>
        <w:tabs>
          <w:tab w:val="num" w:pos="1080"/>
        </w:tabs>
        <w:ind w:left="1080" w:hanging="360"/>
      </w:pPr>
      <w:rPr>
        <w:rFonts w:ascii="Arial" w:hAnsi="Arial"/>
        <w:b/>
        <w:bCs/>
        <w:color w:val="595959"/>
        <w:sz w:val="20"/>
        <w:szCs w:val="20"/>
      </w:rPr>
    </w:lvl>
    <w:lvl w:ilvl="2">
      <w:start w:val="1"/>
      <w:numFmt w:val="decimal"/>
      <w:lvlText w:val="%3."/>
      <w:lvlJc w:val="left"/>
      <w:pPr>
        <w:tabs>
          <w:tab w:val="num" w:pos="1440"/>
        </w:tabs>
        <w:ind w:left="1440" w:hanging="360"/>
      </w:pPr>
      <w:rPr>
        <w:rFonts w:ascii="Arial" w:hAnsi="Arial"/>
        <w:b/>
        <w:bCs/>
        <w:color w:val="595959"/>
        <w:sz w:val="20"/>
        <w:szCs w:val="20"/>
      </w:rPr>
    </w:lvl>
    <w:lvl w:ilvl="3">
      <w:start w:val="1"/>
      <w:numFmt w:val="decimal"/>
      <w:lvlText w:val="%4."/>
      <w:lvlJc w:val="left"/>
      <w:pPr>
        <w:tabs>
          <w:tab w:val="num" w:pos="1800"/>
        </w:tabs>
        <w:ind w:left="1800" w:hanging="360"/>
      </w:pPr>
      <w:rPr>
        <w:rFonts w:ascii="Arial" w:hAnsi="Arial"/>
        <w:b/>
        <w:bCs/>
        <w:color w:val="595959"/>
        <w:sz w:val="20"/>
        <w:szCs w:val="20"/>
      </w:rPr>
    </w:lvl>
    <w:lvl w:ilvl="4">
      <w:start w:val="1"/>
      <w:numFmt w:val="decimal"/>
      <w:lvlText w:val="%5."/>
      <w:lvlJc w:val="left"/>
      <w:pPr>
        <w:tabs>
          <w:tab w:val="num" w:pos="2160"/>
        </w:tabs>
        <w:ind w:left="2160" w:hanging="360"/>
      </w:pPr>
      <w:rPr>
        <w:rFonts w:ascii="Arial" w:hAnsi="Arial"/>
        <w:b/>
        <w:bCs/>
        <w:color w:val="595959"/>
        <w:sz w:val="20"/>
        <w:szCs w:val="20"/>
      </w:rPr>
    </w:lvl>
    <w:lvl w:ilvl="5">
      <w:start w:val="1"/>
      <w:numFmt w:val="decimal"/>
      <w:lvlText w:val="%6."/>
      <w:lvlJc w:val="left"/>
      <w:pPr>
        <w:tabs>
          <w:tab w:val="num" w:pos="2520"/>
        </w:tabs>
        <w:ind w:left="2520" w:hanging="360"/>
      </w:pPr>
      <w:rPr>
        <w:rFonts w:ascii="Arial" w:hAnsi="Arial"/>
        <w:b/>
        <w:bCs/>
        <w:color w:val="595959"/>
        <w:sz w:val="20"/>
        <w:szCs w:val="20"/>
      </w:rPr>
    </w:lvl>
    <w:lvl w:ilvl="6">
      <w:start w:val="1"/>
      <w:numFmt w:val="decimal"/>
      <w:lvlText w:val="%7."/>
      <w:lvlJc w:val="left"/>
      <w:pPr>
        <w:tabs>
          <w:tab w:val="num" w:pos="2880"/>
        </w:tabs>
        <w:ind w:left="2880" w:hanging="360"/>
      </w:pPr>
      <w:rPr>
        <w:rFonts w:ascii="Arial" w:hAnsi="Arial"/>
        <w:b/>
        <w:bCs/>
        <w:color w:val="595959"/>
        <w:sz w:val="20"/>
        <w:szCs w:val="20"/>
      </w:rPr>
    </w:lvl>
    <w:lvl w:ilvl="7">
      <w:start w:val="1"/>
      <w:numFmt w:val="decimal"/>
      <w:lvlText w:val="%8."/>
      <w:lvlJc w:val="left"/>
      <w:pPr>
        <w:tabs>
          <w:tab w:val="num" w:pos="3240"/>
        </w:tabs>
        <w:ind w:left="3240" w:hanging="360"/>
      </w:pPr>
      <w:rPr>
        <w:rFonts w:ascii="Arial" w:hAnsi="Arial"/>
        <w:b/>
        <w:bCs/>
        <w:color w:val="595959"/>
        <w:sz w:val="20"/>
        <w:szCs w:val="20"/>
      </w:rPr>
    </w:lvl>
    <w:lvl w:ilvl="8">
      <w:start w:val="1"/>
      <w:numFmt w:val="decimal"/>
      <w:lvlText w:val="%9."/>
      <w:lvlJc w:val="left"/>
      <w:pPr>
        <w:tabs>
          <w:tab w:val="num" w:pos="3600"/>
        </w:tabs>
        <w:ind w:left="3600" w:hanging="360"/>
      </w:pPr>
      <w:rPr>
        <w:rFonts w:ascii="Arial" w:hAnsi="Arial"/>
        <w:b/>
        <w:bCs/>
        <w:color w:val="595959"/>
        <w:sz w:val="20"/>
        <w:szCs w:val="20"/>
      </w:rPr>
    </w:lvl>
  </w:abstractNum>
  <w:abstractNum w:abstractNumId="21" w15:restartNumberingAfterBreak="0">
    <w:nsid w:val="61A13B14"/>
    <w:multiLevelType w:val="multilevel"/>
    <w:tmpl w:val="511B470B"/>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2" w15:restartNumberingAfterBreak="0">
    <w:nsid w:val="624361AA"/>
    <w:multiLevelType w:val="multilevel"/>
    <w:tmpl w:val="ECCCFDB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3" w15:restartNumberingAfterBreak="0">
    <w:nsid w:val="64636B84"/>
    <w:multiLevelType w:val="multilevel"/>
    <w:tmpl w:val="08AC088A"/>
    <w:lvl w:ilvl="0">
      <w:start w:val="1"/>
      <w:numFmt w:val="lowerRoman"/>
      <w:lvlText w:val="%1."/>
      <w:lvlJc w:val="left"/>
      <w:pPr>
        <w:tabs>
          <w:tab w:val="num" w:pos="720"/>
        </w:tabs>
        <w:ind w:left="720" w:hanging="360"/>
      </w:pPr>
      <w:rPr>
        <w:rFonts w:ascii="Arial" w:hAnsi="Arial"/>
        <w:b/>
        <w:bCs/>
        <w:color w:val="595959"/>
        <w:sz w:val="20"/>
        <w:szCs w:val="20"/>
      </w:rPr>
    </w:lvl>
    <w:lvl w:ilvl="1">
      <w:start w:val="1"/>
      <w:numFmt w:val="lowerRoman"/>
      <w:lvlText w:val="%2."/>
      <w:lvlJc w:val="left"/>
      <w:pPr>
        <w:tabs>
          <w:tab w:val="num" w:pos="1080"/>
        </w:tabs>
        <w:ind w:left="1080" w:hanging="360"/>
      </w:pPr>
      <w:rPr>
        <w:rFonts w:ascii="Arial" w:hAnsi="Arial"/>
        <w:b/>
        <w:bCs/>
        <w:color w:val="595959"/>
        <w:sz w:val="20"/>
        <w:szCs w:val="20"/>
      </w:rPr>
    </w:lvl>
    <w:lvl w:ilvl="2">
      <w:start w:val="1"/>
      <w:numFmt w:val="lowerRoman"/>
      <w:lvlText w:val="%3."/>
      <w:lvlJc w:val="left"/>
      <w:pPr>
        <w:tabs>
          <w:tab w:val="num" w:pos="1440"/>
        </w:tabs>
        <w:ind w:left="1440" w:hanging="360"/>
      </w:pPr>
      <w:rPr>
        <w:rFonts w:ascii="Arial" w:hAnsi="Arial"/>
        <w:b/>
        <w:bCs/>
        <w:color w:val="595959"/>
        <w:sz w:val="20"/>
        <w:szCs w:val="20"/>
      </w:rPr>
    </w:lvl>
    <w:lvl w:ilvl="3">
      <w:start w:val="1"/>
      <w:numFmt w:val="lowerRoman"/>
      <w:lvlText w:val="%4."/>
      <w:lvlJc w:val="left"/>
      <w:pPr>
        <w:tabs>
          <w:tab w:val="num" w:pos="1800"/>
        </w:tabs>
        <w:ind w:left="1800" w:hanging="360"/>
      </w:pPr>
      <w:rPr>
        <w:rFonts w:ascii="Arial" w:hAnsi="Arial"/>
        <w:b/>
        <w:bCs/>
        <w:color w:val="595959"/>
        <w:sz w:val="20"/>
        <w:szCs w:val="20"/>
      </w:rPr>
    </w:lvl>
    <w:lvl w:ilvl="4">
      <w:start w:val="1"/>
      <w:numFmt w:val="lowerRoman"/>
      <w:lvlText w:val="%5."/>
      <w:lvlJc w:val="left"/>
      <w:pPr>
        <w:tabs>
          <w:tab w:val="num" w:pos="2160"/>
        </w:tabs>
        <w:ind w:left="2160" w:hanging="360"/>
      </w:pPr>
      <w:rPr>
        <w:rFonts w:ascii="Arial" w:hAnsi="Arial"/>
        <w:b/>
        <w:bCs/>
        <w:color w:val="595959"/>
        <w:sz w:val="20"/>
        <w:szCs w:val="20"/>
      </w:rPr>
    </w:lvl>
    <w:lvl w:ilvl="5">
      <w:start w:val="1"/>
      <w:numFmt w:val="lowerRoman"/>
      <w:lvlText w:val="%6."/>
      <w:lvlJc w:val="left"/>
      <w:pPr>
        <w:tabs>
          <w:tab w:val="num" w:pos="2520"/>
        </w:tabs>
        <w:ind w:left="2520" w:hanging="360"/>
      </w:pPr>
      <w:rPr>
        <w:rFonts w:ascii="Arial" w:hAnsi="Arial"/>
        <w:b/>
        <w:bCs/>
        <w:color w:val="595959"/>
        <w:sz w:val="20"/>
        <w:szCs w:val="20"/>
      </w:rPr>
    </w:lvl>
    <w:lvl w:ilvl="6">
      <w:start w:val="1"/>
      <w:numFmt w:val="lowerRoman"/>
      <w:lvlText w:val="%7."/>
      <w:lvlJc w:val="left"/>
      <w:pPr>
        <w:tabs>
          <w:tab w:val="num" w:pos="2880"/>
        </w:tabs>
        <w:ind w:left="2880" w:hanging="360"/>
      </w:pPr>
      <w:rPr>
        <w:rFonts w:ascii="Arial" w:hAnsi="Arial"/>
        <w:b/>
        <w:bCs/>
        <w:color w:val="595959"/>
        <w:sz w:val="20"/>
        <w:szCs w:val="20"/>
      </w:rPr>
    </w:lvl>
    <w:lvl w:ilvl="7">
      <w:start w:val="1"/>
      <w:numFmt w:val="lowerRoman"/>
      <w:lvlText w:val="%8."/>
      <w:lvlJc w:val="left"/>
      <w:pPr>
        <w:tabs>
          <w:tab w:val="num" w:pos="3240"/>
        </w:tabs>
        <w:ind w:left="3240" w:hanging="360"/>
      </w:pPr>
      <w:rPr>
        <w:rFonts w:ascii="Arial" w:hAnsi="Arial"/>
        <w:b/>
        <w:bCs/>
        <w:color w:val="595959"/>
        <w:sz w:val="20"/>
        <w:szCs w:val="20"/>
      </w:rPr>
    </w:lvl>
    <w:lvl w:ilvl="8">
      <w:start w:val="1"/>
      <w:numFmt w:val="lowerRoman"/>
      <w:lvlText w:val="%9."/>
      <w:lvlJc w:val="left"/>
      <w:pPr>
        <w:tabs>
          <w:tab w:val="num" w:pos="3600"/>
        </w:tabs>
        <w:ind w:left="3600" w:hanging="360"/>
      </w:pPr>
      <w:rPr>
        <w:rFonts w:ascii="Arial" w:hAnsi="Arial"/>
        <w:b/>
        <w:bCs/>
        <w:color w:val="595959"/>
        <w:sz w:val="20"/>
        <w:szCs w:val="20"/>
      </w:rPr>
    </w:lvl>
  </w:abstractNum>
  <w:abstractNum w:abstractNumId="24" w15:restartNumberingAfterBreak="0">
    <w:nsid w:val="6C967628"/>
    <w:multiLevelType w:val="multilevel"/>
    <w:tmpl w:val="57F4B83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5" w15:restartNumberingAfterBreak="0">
    <w:nsid w:val="7B4F5F3B"/>
    <w:multiLevelType w:val="multilevel"/>
    <w:tmpl w:val="302EB204"/>
    <w:lvl w:ilvl="0">
      <w:start w:val="1"/>
      <w:numFmt w:val="lowerRoman"/>
      <w:lvlText w:val="%1."/>
      <w:lvlJc w:val="left"/>
      <w:pPr>
        <w:tabs>
          <w:tab w:val="num" w:pos="720"/>
        </w:tabs>
        <w:ind w:left="720" w:hanging="360"/>
      </w:pPr>
      <w:rPr>
        <w:rFonts w:ascii="Arial" w:hAnsi="Arial"/>
        <w:b/>
        <w:bCs/>
        <w:color w:val="595959"/>
        <w:sz w:val="20"/>
        <w:szCs w:val="20"/>
      </w:rPr>
    </w:lvl>
    <w:lvl w:ilvl="1">
      <w:start w:val="1"/>
      <w:numFmt w:val="lowerRoman"/>
      <w:lvlText w:val="%2."/>
      <w:lvlJc w:val="left"/>
      <w:pPr>
        <w:tabs>
          <w:tab w:val="num" w:pos="1080"/>
        </w:tabs>
        <w:ind w:left="1080" w:hanging="360"/>
      </w:pPr>
      <w:rPr>
        <w:rFonts w:ascii="Arial" w:hAnsi="Arial"/>
        <w:b/>
        <w:bCs/>
        <w:color w:val="595959"/>
        <w:sz w:val="20"/>
        <w:szCs w:val="20"/>
      </w:rPr>
    </w:lvl>
    <w:lvl w:ilvl="2">
      <w:start w:val="1"/>
      <w:numFmt w:val="lowerRoman"/>
      <w:lvlText w:val="%3."/>
      <w:lvlJc w:val="left"/>
      <w:pPr>
        <w:tabs>
          <w:tab w:val="num" w:pos="1440"/>
        </w:tabs>
        <w:ind w:left="1440" w:hanging="360"/>
      </w:pPr>
      <w:rPr>
        <w:rFonts w:ascii="Arial" w:hAnsi="Arial"/>
        <w:b/>
        <w:bCs/>
        <w:color w:val="595959"/>
        <w:sz w:val="20"/>
        <w:szCs w:val="20"/>
      </w:rPr>
    </w:lvl>
    <w:lvl w:ilvl="3">
      <w:start w:val="1"/>
      <w:numFmt w:val="lowerRoman"/>
      <w:lvlText w:val="%4."/>
      <w:lvlJc w:val="left"/>
      <w:pPr>
        <w:tabs>
          <w:tab w:val="num" w:pos="1800"/>
        </w:tabs>
        <w:ind w:left="1800" w:hanging="360"/>
      </w:pPr>
      <w:rPr>
        <w:rFonts w:ascii="Arial" w:hAnsi="Arial"/>
        <w:b/>
        <w:bCs/>
        <w:color w:val="595959"/>
        <w:sz w:val="20"/>
        <w:szCs w:val="20"/>
      </w:rPr>
    </w:lvl>
    <w:lvl w:ilvl="4">
      <w:start w:val="1"/>
      <w:numFmt w:val="lowerRoman"/>
      <w:lvlText w:val="%5."/>
      <w:lvlJc w:val="left"/>
      <w:pPr>
        <w:tabs>
          <w:tab w:val="num" w:pos="2160"/>
        </w:tabs>
        <w:ind w:left="2160" w:hanging="360"/>
      </w:pPr>
      <w:rPr>
        <w:rFonts w:ascii="Arial" w:hAnsi="Arial"/>
        <w:b/>
        <w:bCs/>
        <w:color w:val="595959"/>
        <w:sz w:val="20"/>
        <w:szCs w:val="20"/>
      </w:rPr>
    </w:lvl>
    <w:lvl w:ilvl="5">
      <w:start w:val="1"/>
      <w:numFmt w:val="lowerRoman"/>
      <w:lvlText w:val="%6."/>
      <w:lvlJc w:val="left"/>
      <w:pPr>
        <w:tabs>
          <w:tab w:val="num" w:pos="2520"/>
        </w:tabs>
        <w:ind w:left="2520" w:hanging="360"/>
      </w:pPr>
      <w:rPr>
        <w:rFonts w:ascii="Arial" w:hAnsi="Arial"/>
        <w:b/>
        <w:bCs/>
        <w:color w:val="595959"/>
        <w:sz w:val="20"/>
        <w:szCs w:val="20"/>
      </w:rPr>
    </w:lvl>
    <w:lvl w:ilvl="6">
      <w:start w:val="1"/>
      <w:numFmt w:val="lowerRoman"/>
      <w:lvlText w:val="%7."/>
      <w:lvlJc w:val="left"/>
      <w:pPr>
        <w:tabs>
          <w:tab w:val="num" w:pos="2880"/>
        </w:tabs>
        <w:ind w:left="2880" w:hanging="360"/>
      </w:pPr>
      <w:rPr>
        <w:rFonts w:ascii="Arial" w:hAnsi="Arial"/>
        <w:b/>
        <w:bCs/>
        <w:color w:val="595959"/>
        <w:sz w:val="20"/>
        <w:szCs w:val="20"/>
      </w:rPr>
    </w:lvl>
    <w:lvl w:ilvl="7">
      <w:start w:val="1"/>
      <w:numFmt w:val="lowerRoman"/>
      <w:lvlText w:val="%8."/>
      <w:lvlJc w:val="left"/>
      <w:pPr>
        <w:tabs>
          <w:tab w:val="num" w:pos="3240"/>
        </w:tabs>
        <w:ind w:left="3240" w:hanging="360"/>
      </w:pPr>
      <w:rPr>
        <w:rFonts w:ascii="Arial" w:hAnsi="Arial"/>
        <w:b/>
        <w:bCs/>
        <w:color w:val="595959"/>
        <w:sz w:val="20"/>
        <w:szCs w:val="20"/>
      </w:rPr>
    </w:lvl>
    <w:lvl w:ilvl="8">
      <w:start w:val="1"/>
      <w:numFmt w:val="lowerRoman"/>
      <w:lvlText w:val="%9."/>
      <w:lvlJc w:val="left"/>
      <w:pPr>
        <w:tabs>
          <w:tab w:val="num" w:pos="3600"/>
        </w:tabs>
        <w:ind w:left="3600" w:hanging="360"/>
      </w:pPr>
      <w:rPr>
        <w:rFonts w:ascii="Arial" w:hAnsi="Arial"/>
        <w:b/>
        <w:bCs/>
        <w:color w:val="595959"/>
        <w:sz w:val="20"/>
        <w:szCs w:val="20"/>
      </w:rPr>
    </w:lvl>
  </w:abstractNum>
  <w:abstractNum w:abstractNumId="26" w15:restartNumberingAfterBreak="0">
    <w:nsid w:val="7B91384D"/>
    <w:multiLevelType w:val="multilevel"/>
    <w:tmpl w:val="48DE047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7" w15:restartNumberingAfterBreak="0">
    <w:nsid w:val="7CF47E6B"/>
    <w:multiLevelType w:val="multilevel"/>
    <w:tmpl w:val="67B057CC"/>
    <w:lvl w:ilvl="0">
      <w:start w:val="1"/>
      <w:numFmt w:val="lowerLetter"/>
      <w:lvlText w:val="%1)"/>
      <w:lvlJc w:val="left"/>
      <w:pPr>
        <w:tabs>
          <w:tab w:val="num" w:pos="720"/>
        </w:tabs>
        <w:ind w:left="720" w:hanging="360"/>
      </w:pPr>
      <w:rPr>
        <w:rFonts w:ascii="Arial" w:hAnsi="Arial"/>
        <w:b/>
        <w:bCs/>
        <w:color w:val="595959"/>
        <w:sz w:val="20"/>
        <w:szCs w:val="20"/>
      </w:rPr>
    </w:lvl>
    <w:lvl w:ilvl="1">
      <w:start w:val="1"/>
      <w:numFmt w:val="lowerLetter"/>
      <w:lvlText w:val="%2)"/>
      <w:lvlJc w:val="left"/>
      <w:pPr>
        <w:tabs>
          <w:tab w:val="num" w:pos="1080"/>
        </w:tabs>
        <w:ind w:left="1080" w:hanging="360"/>
      </w:pPr>
      <w:rPr>
        <w:rFonts w:ascii="Arial" w:hAnsi="Arial"/>
        <w:b/>
        <w:bCs/>
        <w:color w:val="595959"/>
        <w:sz w:val="20"/>
        <w:szCs w:val="20"/>
      </w:rPr>
    </w:lvl>
    <w:lvl w:ilvl="2">
      <w:start w:val="1"/>
      <w:numFmt w:val="lowerLetter"/>
      <w:lvlText w:val="%3)"/>
      <w:lvlJc w:val="left"/>
      <w:pPr>
        <w:tabs>
          <w:tab w:val="num" w:pos="1440"/>
        </w:tabs>
        <w:ind w:left="1440" w:hanging="360"/>
      </w:pPr>
      <w:rPr>
        <w:rFonts w:ascii="Arial" w:hAnsi="Arial"/>
        <w:b/>
        <w:bCs/>
        <w:color w:val="595959"/>
        <w:sz w:val="20"/>
        <w:szCs w:val="20"/>
      </w:rPr>
    </w:lvl>
    <w:lvl w:ilvl="3">
      <w:start w:val="1"/>
      <w:numFmt w:val="lowerLetter"/>
      <w:lvlText w:val="%4)"/>
      <w:lvlJc w:val="left"/>
      <w:pPr>
        <w:tabs>
          <w:tab w:val="num" w:pos="1800"/>
        </w:tabs>
        <w:ind w:left="1800" w:hanging="360"/>
      </w:pPr>
      <w:rPr>
        <w:rFonts w:ascii="Arial" w:hAnsi="Arial"/>
        <w:b/>
        <w:bCs/>
        <w:color w:val="595959"/>
        <w:sz w:val="20"/>
        <w:szCs w:val="20"/>
      </w:rPr>
    </w:lvl>
    <w:lvl w:ilvl="4">
      <w:start w:val="1"/>
      <w:numFmt w:val="lowerLetter"/>
      <w:lvlText w:val="%5)"/>
      <w:lvlJc w:val="left"/>
      <w:pPr>
        <w:tabs>
          <w:tab w:val="num" w:pos="2160"/>
        </w:tabs>
        <w:ind w:left="2160" w:hanging="360"/>
      </w:pPr>
      <w:rPr>
        <w:rFonts w:ascii="Arial" w:hAnsi="Arial"/>
        <w:b/>
        <w:bCs/>
        <w:color w:val="595959"/>
        <w:sz w:val="20"/>
        <w:szCs w:val="20"/>
      </w:rPr>
    </w:lvl>
    <w:lvl w:ilvl="5">
      <w:start w:val="1"/>
      <w:numFmt w:val="lowerLetter"/>
      <w:lvlText w:val="%6)"/>
      <w:lvlJc w:val="left"/>
      <w:pPr>
        <w:tabs>
          <w:tab w:val="num" w:pos="2520"/>
        </w:tabs>
        <w:ind w:left="2520" w:hanging="360"/>
      </w:pPr>
      <w:rPr>
        <w:rFonts w:ascii="Arial" w:hAnsi="Arial"/>
        <w:b/>
        <w:bCs/>
        <w:color w:val="595959"/>
        <w:sz w:val="20"/>
        <w:szCs w:val="20"/>
      </w:rPr>
    </w:lvl>
    <w:lvl w:ilvl="6">
      <w:start w:val="1"/>
      <w:numFmt w:val="lowerLetter"/>
      <w:lvlText w:val="%7)"/>
      <w:lvlJc w:val="left"/>
      <w:pPr>
        <w:tabs>
          <w:tab w:val="num" w:pos="2880"/>
        </w:tabs>
        <w:ind w:left="2880" w:hanging="360"/>
      </w:pPr>
      <w:rPr>
        <w:rFonts w:ascii="Arial" w:hAnsi="Arial"/>
        <w:b/>
        <w:bCs/>
        <w:color w:val="595959"/>
        <w:sz w:val="20"/>
        <w:szCs w:val="20"/>
      </w:rPr>
    </w:lvl>
    <w:lvl w:ilvl="7">
      <w:start w:val="1"/>
      <w:numFmt w:val="lowerLetter"/>
      <w:lvlText w:val="%8)"/>
      <w:lvlJc w:val="left"/>
      <w:pPr>
        <w:tabs>
          <w:tab w:val="num" w:pos="3240"/>
        </w:tabs>
        <w:ind w:left="3240" w:hanging="360"/>
      </w:pPr>
      <w:rPr>
        <w:rFonts w:ascii="Arial" w:hAnsi="Arial"/>
        <w:b/>
        <w:bCs/>
        <w:color w:val="595959"/>
        <w:sz w:val="20"/>
        <w:szCs w:val="20"/>
      </w:rPr>
    </w:lvl>
    <w:lvl w:ilvl="8">
      <w:start w:val="1"/>
      <w:numFmt w:val="lowerLetter"/>
      <w:lvlText w:val="%9)"/>
      <w:lvlJc w:val="left"/>
      <w:pPr>
        <w:tabs>
          <w:tab w:val="num" w:pos="3600"/>
        </w:tabs>
        <w:ind w:left="3600" w:hanging="360"/>
      </w:pPr>
      <w:rPr>
        <w:rFonts w:ascii="Arial" w:hAnsi="Arial"/>
        <w:b/>
        <w:bCs/>
        <w:color w:val="595959"/>
        <w:sz w:val="20"/>
        <w:szCs w:val="20"/>
      </w:rPr>
    </w:lvl>
  </w:abstractNum>
  <w:num w:numId="1">
    <w:abstractNumId w:val="22"/>
  </w:num>
  <w:num w:numId="2">
    <w:abstractNumId w:val="6"/>
  </w:num>
  <w:num w:numId="3">
    <w:abstractNumId w:val="18"/>
  </w:num>
  <w:num w:numId="4">
    <w:abstractNumId w:val="14"/>
  </w:num>
  <w:num w:numId="5">
    <w:abstractNumId w:val="12"/>
  </w:num>
  <w:num w:numId="6">
    <w:abstractNumId w:val="9"/>
  </w:num>
  <w:num w:numId="7">
    <w:abstractNumId w:val="1"/>
  </w:num>
  <w:num w:numId="8">
    <w:abstractNumId w:val="16"/>
  </w:num>
  <w:num w:numId="9">
    <w:abstractNumId w:val="13"/>
  </w:num>
  <w:num w:numId="10">
    <w:abstractNumId w:val="11"/>
  </w:num>
  <w:num w:numId="11">
    <w:abstractNumId w:val="10"/>
  </w:num>
  <w:num w:numId="12">
    <w:abstractNumId w:val="17"/>
  </w:num>
  <w:num w:numId="13">
    <w:abstractNumId w:val="2"/>
  </w:num>
  <w:num w:numId="14">
    <w:abstractNumId w:val="0"/>
  </w:num>
  <w:num w:numId="15">
    <w:abstractNumId w:val="4"/>
  </w:num>
  <w:num w:numId="16">
    <w:abstractNumId w:val="7"/>
  </w:num>
  <w:num w:numId="17">
    <w:abstractNumId w:val="5"/>
  </w:num>
  <w:num w:numId="18">
    <w:abstractNumId w:val="24"/>
  </w:num>
  <w:num w:numId="19">
    <w:abstractNumId w:val="26"/>
  </w:num>
  <w:num w:numId="20">
    <w:abstractNumId w:val="27"/>
  </w:num>
  <w:num w:numId="21">
    <w:abstractNumId w:val="20"/>
  </w:num>
  <w:num w:numId="22">
    <w:abstractNumId w:val="15"/>
  </w:num>
  <w:num w:numId="23">
    <w:abstractNumId w:val="8"/>
  </w:num>
  <w:num w:numId="24">
    <w:abstractNumId w:val="23"/>
  </w:num>
  <w:num w:numId="25">
    <w:abstractNumId w:val="25"/>
  </w:num>
  <w:num w:numId="26">
    <w:abstractNumId w:val="19"/>
  </w:num>
  <w:num w:numId="27">
    <w:abstractNumId w:val="3"/>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6021"/>
    <w:rsid w:val="00086021"/>
    <w:rsid w:val="000D7D36"/>
    <w:rsid w:val="0010403D"/>
    <w:rsid w:val="002335AB"/>
    <w:rsid w:val="002B20CA"/>
    <w:rsid w:val="00317575"/>
    <w:rsid w:val="003729E7"/>
    <w:rsid w:val="003C377F"/>
    <w:rsid w:val="00427B15"/>
    <w:rsid w:val="004B17C4"/>
    <w:rsid w:val="0055011C"/>
    <w:rsid w:val="005960F9"/>
    <w:rsid w:val="00621EAD"/>
    <w:rsid w:val="007D0A8D"/>
    <w:rsid w:val="00821BB4"/>
    <w:rsid w:val="008F6958"/>
    <w:rsid w:val="00914620"/>
    <w:rsid w:val="009E19AB"/>
    <w:rsid w:val="00A45B97"/>
    <w:rsid w:val="00A6595C"/>
    <w:rsid w:val="00A77C09"/>
    <w:rsid w:val="00AB07D3"/>
    <w:rsid w:val="00B30196"/>
    <w:rsid w:val="00B351D3"/>
    <w:rsid w:val="00B81FD0"/>
    <w:rsid w:val="00BD0171"/>
    <w:rsid w:val="00BE546C"/>
    <w:rsid w:val="00BF60D3"/>
    <w:rsid w:val="00C80431"/>
    <w:rsid w:val="00FC49F8"/>
    <w:rsid w:val="00FE3CFF"/>
    <w:rsid w:val="2808AEB0"/>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0EA831"/>
  <w15:docId w15:val="{3226A577-575E-40B9-934F-7AC3F3066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ahoma"/>
        <w:szCs w:val="24"/>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color w:val="595959"/>
      <w:sz w:val="18"/>
    </w:rPr>
  </w:style>
  <w:style w:type="paragraph" w:styleId="Heading1">
    <w:name w:val="heading 1"/>
    <w:basedOn w:val="Normal"/>
    <w:next w:val="Normal"/>
    <w:uiPriority w:val="9"/>
    <w:qFormat/>
    <w:pPr>
      <w:keepNext/>
      <w:keepLines/>
      <w:spacing w:before="240"/>
      <w:outlineLvl w:val="0"/>
    </w:pPr>
    <w:rPr>
      <w:rFonts w:eastAsia="Yu Gothic Light"/>
      <w:b/>
      <w:bCs/>
      <w:caps/>
      <w:color w:val="DA0812"/>
      <w:sz w:val="52"/>
      <w:szCs w:val="52"/>
    </w:rPr>
  </w:style>
  <w:style w:type="paragraph" w:styleId="Heading2">
    <w:name w:val="heading 2"/>
    <w:basedOn w:val="Normal"/>
    <w:next w:val="Normal"/>
    <w:uiPriority w:val="9"/>
    <w:unhideWhenUsed/>
    <w:qFormat/>
    <w:pPr>
      <w:keepNext/>
      <w:keepLines/>
      <w:outlineLvl w:val="1"/>
    </w:pPr>
    <w:rPr>
      <w:rFonts w:eastAsia="Yu Gothic Light"/>
      <w:b/>
      <w:bCs/>
      <w:color w:val="008542"/>
      <w:sz w:val="32"/>
      <w:szCs w:val="26"/>
      <w:lang w:val="nl-NL"/>
    </w:rPr>
  </w:style>
  <w:style w:type="paragraph" w:styleId="Heading3">
    <w:name w:val="heading 3"/>
    <w:basedOn w:val="Normal"/>
    <w:next w:val="Normal"/>
    <w:uiPriority w:val="9"/>
    <w:unhideWhenUsed/>
    <w:qFormat/>
    <w:pPr>
      <w:keepNext/>
      <w:keepLines/>
      <w:spacing w:before="40"/>
      <w:outlineLvl w:val="2"/>
    </w:pPr>
    <w:rPr>
      <w:rFonts w:eastAsia="Yu Gothic Light"/>
      <w:b/>
      <w:bCs/>
      <w:color w:val="DA0812"/>
      <w:sz w:val="28"/>
    </w:rPr>
  </w:style>
  <w:style w:type="paragraph" w:styleId="Heading4">
    <w:name w:val="heading 4"/>
    <w:basedOn w:val="Normal"/>
    <w:next w:val="Normal"/>
    <w:uiPriority w:val="9"/>
    <w:unhideWhenUsed/>
    <w:qFormat/>
    <w:pPr>
      <w:keepNext/>
      <w:keepLines/>
      <w:spacing w:before="40"/>
      <w:outlineLvl w:val="3"/>
    </w:pPr>
    <w:rPr>
      <w:rFonts w:eastAsia="Yu Gothic Light"/>
      <w:b/>
      <w:color w:val="008542"/>
      <w:sz w:val="24"/>
      <w:lang w:val="nl-NL"/>
    </w:rPr>
  </w:style>
  <w:style w:type="paragraph" w:styleId="Heading5">
    <w:name w:val="heading 5"/>
    <w:basedOn w:val="Normal"/>
    <w:next w:val="Normal"/>
    <w:uiPriority w:val="9"/>
    <w:unhideWhenUsed/>
    <w:qFormat/>
    <w:pPr>
      <w:keepNext/>
      <w:keepLines/>
      <w:spacing w:before="40"/>
      <w:outlineLvl w:val="4"/>
    </w:pPr>
    <w:rPr>
      <w:rFonts w:eastAsia="Yu Gothic Light"/>
      <w:b/>
      <w:color w:val="0D0D0D"/>
      <w:sz w:val="20"/>
    </w:rPr>
  </w:style>
  <w:style w:type="paragraph" w:styleId="Heading6">
    <w:name w:val="heading 6"/>
    <w:basedOn w:val="Normal"/>
    <w:next w:val="Normal"/>
    <w:uiPriority w:val="9"/>
    <w:semiHidden/>
    <w:unhideWhenUsed/>
    <w:qFormat/>
    <w:pPr>
      <w:keepNext/>
      <w:keepLines/>
      <w:spacing w:before="200"/>
      <w:outlineLvl w:val="5"/>
    </w:pPr>
    <w:rPr>
      <w:rFonts w:eastAsia="Yu Gothic Light"/>
      <w:iCs/>
      <w:color w:val="0D0D0D"/>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qFormat/>
    <w:rPr>
      <w:rFonts w:ascii="Arial" w:eastAsia="Yu Gothic Light" w:hAnsi="Arial" w:cs="Tahoma"/>
      <w:b/>
      <w:bCs/>
      <w:caps/>
      <w:color w:val="DA0812"/>
      <w:sz w:val="52"/>
      <w:szCs w:val="52"/>
    </w:rPr>
  </w:style>
  <w:style w:type="character" w:customStyle="1" w:styleId="Heading2Char">
    <w:name w:val="Heading 2 Char"/>
    <w:basedOn w:val="DefaultParagraphFont"/>
    <w:qFormat/>
    <w:rPr>
      <w:rFonts w:ascii="Arial" w:eastAsia="Yu Gothic Light" w:hAnsi="Arial" w:cs="Tahoma"/>
      <w:b/>
      <w:bCs/>
      <w:color w:val="008542"/>
      <w:sz w:val="32"/>
      <w:szCs w:val="26"/>
      <w:lang w:val="nl-NL"/>
    </w:rPr>
  </w:style>
  <w:style w:type="character" w:customStyle="1" w:styleId="Heading3Char">
    <w:name w:val="Heading 3 Char"/>
    <w:basedOn w:val="DefaultParagraphFont"/>
    <w:qFormat/>
    <w:rPr>
      <w:rFonts w:ascii="Arial" w:eastAsia="Yu Gothic Light" w:hAnsi="Arial" w:cs="Tahoma"/>
      <w:b/>
      <w:bCs/>
      <w:color w:val="DA0812"/>
      <w:sz w:val="28"/>
    </w:rPr>
  </w:style>
  <w:style w:type="character" w:customStyle="1" w:styleId="TitleChar">
    <w:name w:val="Title Char"/>
    <w:basedOn w:val="DefaultParagraphFont"/>
    <w:qFormat/>
    <w:rPr>
      <w:rFonts w:ascii="Utopia Std" w:eastAsia="Yu Gothic Light" w:hAnsi="Utopia Std" w:cs="Tahoma"/>
      <w:b/>
      <w:bCs/>
      <w:color w:val="FFFFFF"/>
      <w:sz w:val="96"/>
      <w:szCs w:val="56"/>
      <w:lang w:val="nl-NL"/>
    </w:rPr>
  </w:style>
  <w:style w:type="character" w:customStyle="1" w:styleId="Heading4Char">
    <w:name w:val="Heading 4 Char"/>
    <w:basedOn w:val="DefaultParagraphFont"/>
    <w:qFormat/>
    <w:rPr>
      <w:rFonts w:ascii="Arial" w:eastAsia="Yu Gothic Light" w:hAnsi="Arial" w:cs="Tahoma"/>
      <w:b/>
      <w:color w:val="008542"/>
      <w:lang w:val="nl-NL"/>
    </w:rPr>
  </w:style>
  <w:style w:type="character" w:customStyle="1" w:styleId="QuoteChar">
    <w:name w:val="Quote Char"/>
    <w:basedOn w:val="DefaultParagraphFont"/>
    <w:qFormat/>
    <w:rPr>
      <w:rFonts w:ascii="Arial" w:hAnsi="Arial"/>
      <w:color w:val="FF0000"/>
      <w:sz w:val="18"/>
      <w:lang w:val="nl-NL"/>
    </w:rPr>
  </w:style>
  <w:style w:type="character" w:customStyle="1" w:styleId="HeaderChar">
    <w:name w:val="Header Char"/>
    <w:basedOn w:val="DefaultParagraphFont"/>
    <w:qFormat/>
  </w:style>
  <w:style w:type="character" w:customStyle="1" w:styleId="FooterChar">
    <w:name w:val="Footer Char"/>
    <w:basedOn w:val="DefaultParagraphFont"/>
    <w:qFormat/>
  </w:style>
  <w:style w:type="character" w:customStyle="1" w:styleId="SubtitleChar">
    <w:name w:val="Subtitle Char"/>
    <w:basedOn w:val="DefaultParagraphFont"/>
    <w:qFormat/>
    <w:rPr>
      <w:rFonts w:ascii="Roboto Light" w:eastAsia="Yu Mincho" w:hAnsi="Roboto Light"/>
      <w:color w:val="F42400"/>
      <w:sz w:val="16"/>
      <w:szCs w:val="22"/>
    </w:rPr>
  </w:style>
  <w:style w:type="character" w:customStyle="1" w:styleId="NoSpacingChar">
    <w:name w:val="No Spacing Char"/>
    <w:basedOn w:val="DefaultParagraphFont"/>
    <w:qFormat/>
    <w:rPr>
      <w:rFonts w:eastAsia="Yu Mincho"/>
      <w:sz w:val="22"/>
      <w:szCs w:val="22"/>
      <w:lang w:eastAsia="zh-CN"/>
    </w:rPr>
  </w:style>
  <w:style w:type="character" w:customStyle="1" w:styleId="Heading5Char">
    <w:name w:val="Heading 5 Char"/>
    <w:basedOn w:val="DefaultParagraphFont"/>
    <w:qFormat/>
    <w:rPr>
      <w:rFonts w:ascii="Arial" w:eastAsia="Yu Gothic Light" w:hAnsi="Arial" w:cs="Tahoma"/>
      <w:b/>
      <w:color w:val="0D0D0D"/>
      <w:sz w:val="20"/>
    </w:rPr>
  </w:style>
  <w:style w:type="character" w:styleId="Hyperlink">
    <w:name w:val="Hyperlink"/>
    <w:basedOn w:val="DefaultParagraphFont"/>
    <w:rPr>
      <w:rFonts w:ascii="Arial" w:hAnsi="Arial"/>
      <w:color w:val="2998E3"/>
      <w:u w:val="single"/>
    </w:rPr>
  </w:style>
  <w:style w:type="character" w:styleId="PageNumber">
    <w:name w:val="page number"/>
    <w:basedOn w:val="DefaultParagraphFont"/>
    <w:qFormat/>
  </w:style>
  <w:style w:type="character" w:customStyle="1" w:styleId="DocumentMapChar">
    <w:name w:val="Document Map Char"/>
    <w:basedOn w:val="DefaultParagraphFont"/>
    <w:qFormat/>
    <w:rPr>
      <w:rFonts w:ascii="Times New Roman" w:hAnsi="Times New Roman" w:cs="Times New Roman"/>
      <w:color w:val="595959"/>
    </w:rPr>
  </w:style>
  <w:style w:type="character" w:styleId="FollowedHyperlink">
    <w:name w:val="FollowedHyperlink"/>
    <w:basedOn w:val="DefaultParagraphFont"/>
    <w:rPr>
      <w:color w:val="7F723D"/>
      <w:u w:val="single"/>
    </w:rPr>
  </w:style>
  <w:style w:type="character" w:customStyle="1" w:styleId="BalloonTextChar">
    <w:name w:val="Balloon Text Char"/>
    <w:basedOn w:val="DefaultParagraphFont"/>
    <w:qFormat/>
    <w:rPr>
      <w:rFonts w:ascii="Tahoma" w:hAnsi="Tahoma" w:cs="Tahoma"/>
      <w:color w:val="595959"/>
      <w:sz w:val="16"/>
      <w:szCs w:val="16"/>
    </w:rPr>
  </w:style>
  <w:style w:type="character" w:customStyle="1" w:styleId="Heading6Char">
    <w:name w:val="Heading 6 Char"/>
    <w:basedOn w:val="DefaultParagraphFont"/>
    <w:qFormat/>
    <w:rPr>
      <w:rFonts w:ascii="Arial" w:eastAsia="Yu Gothic Light" w:hAnsi="Arial" w:cs="Tahoma"/>
      <w:iCs/>
      <w:color w:val="0D0D0D"/>
      <w:sz w:val="20"/>
    </w:rPr>
  </w:style>
  <w:style w:type="character" w:customStyle="1" w:styleId="FootnoteAnchor">
    <w:name w:val="Footnote Anchor"/>
    <w:rPr>
      <w:vertAlign w:val="superscript"/>
    </w:rPr>
  </w:style>
  <w:style w:type="character" w:customStyle="1" w:styleId="FootnoteCharacters">
    <w:name w:val="Footnote Characters"/>
    <w:qFormat/>
  </w:style>
  <w:style w:type="character" w:customStyle="1" w:styleId="NumberingSymbols">
    <w:name w:val="Numbering Symbols"/>
    <w:qFormat/>
    <w:rPr>
      <w:rFonts w:ascii="Arial" w:hAnsi="Arial"/>
      <w:b/>
      <w:bCs/>
      <w:color w:val="595959"/>
      <w:sz w:val="20"/>
      <w:szCs w:val="20"/>
    </w:rPr>
  </w:style>
  <w:style w:type="character" w:customStyle="1" w:styleId="IndexLink">
    <w:name w:val="Index Link"/>
    <w:qFormat/>
  </w:style>
  <w:style w:type="character" w:customStyle="1" w:styleId="Character20style">
    <w:name w:val="Character_20_style"/>
    <w:qFormat/>
  </w:style>
  <w:style w:type="character" w:styleId="Strong">
    <w:name w:val="Strong"/>
    <w:basedOn w:val="DefaultParagraphFont"/>
    <w:qFormat/>
    <w:rPr>
      <w:b/>
      <w:bCs/>
    </w:rPr>
  </w:style>
  <w:style w:type="character" w:customStyle="1" w:styleId="EndnoteAnchor">
    <w:name w:val="Endnote Anchor"/>
    <w:rPr>
      <w:vertAlign w:val="superscript"/>
    </w:rPr>
  </w:style>
  <w:style w:type="character" w:customStyle="1" w:styleId="EndnoteCharacters">
    <w:name w:val="Endnote Characters"/>
    <w:qFormat/>
  </w:style>
  <w:style w:type="paragraph" w:customStyle="1" w:styleId="Heading">
    <w:name w:val="Heading"/>
    <w:basedOn w:val="Normal"/>
    <w:next w:val="BodyText"/>
    <w:qFormat/>
    <w:pPr>
      <w:keepNext/>
      <w:spacing w:before="240" w:after="120"/>
    </w:pPr>
    <w:rPr>
      <w:rFonts w:ascii="Liberation Sans" w:eastAsia="PingFang SC" w:hAnsi="Liberation Sans" w:cs="Lucida Sans"/>
      <w:sz w:val="28"/>
      <w:szCs w:val="28"/>
    </w:rPr>
  </w:style>
  <w:style w:type="paragraph" w:styleId="BodyText">
    <w:name w:val="Body Text"/>
    <w:basedOn w:val="Normal"/>
    <w:pPr>
      <w:spacing w:after="140" w:line="276"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rPr>
  </w:style>
  <w:style w:type="paragraph" w:customStyle="1" w:styleId="Index">
    <w:name w:val="Index"/>
    <w:basedOn w:val="Normal"/>
    <w:qFormat/>
    <w:pPr>
      <w:suppressLineNumbers/>
    </w:pPr>
    <w:rPr>
      <w:rFonts w:cs="Lucida Sans"/>
    </w:rPr>
  </w:style>
  <w:style w:type="paragraph" w:styleId="ListParagraph">
    <w:name w:val="List Paragraph"/>
    <w:basedOn w:val="Normal"/>
    <w:qFormat/>
    <w:pPr>
      <w:contextualSpacing/>
    </w:pPr>
    <w:rPr>
      <w:color w:val="000000"/>
      <w:lang w:val="nl-NL"/>
    </w:rPr>
  </w:style>
  <w:style w:type="paragraph" w:styleId="Title">
    <w:name w:val="Title"/>
    <w:next w:val="Normal"/>
    <w:uiPriority w:val="10"/>
    <w:qFormat/>
    <w:pPr>
      <w:spacing w:line="163" w:lineRule="auto"/>
      <w:contextualSpacing/>
    </w:pPr>
    <w:rPr>
      <w:rFonts w:ascii="Utopia Std" w:eastAsia="Yu Gothic Light" w:hAnsi="Utopia Std"/>
      <w:b/>
      <w:bCs/>
      <w:color w:val="FFFFFF"/>
      <w:sz w:val="96"/>
      <w:szCs w:val="56"/>
      <w:lang w:val="nl-NL"/>
    </w:rPr>
  </w:style>
  <w:style w:type="paragraph" w:styleId="Quote">
    <w:name w:val="Quote"/>
    <w:next w:val="Normal"/>
    <w:qFormat/>
    <w:pPr>
      <w:pBdr>
        <w:left w:val="single" w:sz="6" w:space="20" w:color="A6A6A6"/>
      </w:pBdr>
      <w:spacing w:after="120" w:line="276" w:lineRule="auto"/>
      <w:ind w:left="851" w:right="851"/>
    </w:pPr>
    <w:rPr>
      <w:rFonts w:ascii="Arial" w:hAnsi="Arial"/>
      <w:color w:val="FF0000"/>
      <w:sz w:val="18"/>
      <w:lang w:val="nl-NL"/>
    </w:rPr>
  </w:style>
  <w:style w:type="paragraph" w:customStyle="1" w:styleId="HeaderandFooter">
    <w:name w:val="Header and Footer"/>
    <w:basedOn w:val="Normal"/>
    <w:qFormat/>
  </w:style>
  <w:style w:type="paragraph" w:styleId="Header">
    <w:name w:val="header"/>
    <w:basedOn w:val="Normal"/>
    <w:pPr>
      <w:tabs>
        <w:tab w:val="center" w:pos="4680"/>
        <w:tab w:val="right" w:pos="9360"/>
      </w:tabs>
    </w:pPr>
  </w:style>
  <w:style w:type="paragraph" w:styleId="Footer">
    <w:name w:val="footer"/>
    <w:basedOn w:val="Normal"/>
    <w:pPr>
      <w:tabs>
        <w:tab w:val="center" w:pos="4680"/>
        <w:tab w:val="right" w:pos="9360"/>
      </w:tabs>
    </w:pPr>
  </w:style>
  <w:style w:type="paragraph" w:styleId="Subtitle">
    <w:name w:val="Subtitle"/>
    <w:next w:val="Normal"/>
    <w:uiPriority w:val="11"/>
    <w:qFormat/>
    <w:pPr>
      <w:spacing w:after="160"/>
    </w:pPr>
    <w:rPr>
      <w:rFonts w:ascii="Roboto Light" w:eastAsia="Yu Mincho" w:hAnsi="Roboto Light"/>
      <w:color w:val="F42400"/>
      <w:sz w:val="16"/>
      <w:szCs w:val="22"/>
    </w:rPr>
  </w:style>
  <w:style w:type="paragraph" w:styleId="NoSpacing">
    <w:name w:val="No Spacing"/>
    <w:qFormat/>
    <w:rPr>
      <w:rFonts w:eastAsia="Yu Mincho"/>
      <w:sz w:val="22"/>
      <w:szCs w:val="22"/>
      <w:lang w:eastAsia="zh-CN"/>
    </w:rPr>
  </w:style>
  <w:style w:type="paragraph" w:styleId="TOCHeading">
    <w:name w:val="TOC Heading"/>
    <w:basedOn w:val="Heading1"/>
    <w:next w:val="Normal"/>
    <w:qFormat/>
    <w:pPr>
      <w:spacing w:before="480" w:line="276" w:lineRule="auto"/>
    </w:pPr>
    <w:rPr>
      <w:rFonts w:ascii="Calibri Light" w:hAnsi="Calibri Light"/>
      <w:color w:val="C49A00"/>
      <w:sz w:val="28"/>
      <w:szCs w:val="28"/>
    </w:rPr>
  </w:style>
  <w:style w:type="paragraph" w:styleId="TOC1">
    <w:name w:val="toc 1"/>
    <w:basedOn w:val="Normal"/>
    <w:next w:val="Normal"/>
    <w:autoRedefine/>
    <w:pPr>
      <w:tabs>
        <w:tab w:val="right" w:leader="dot" w:pos="8488"/>
      </w:tabs>
      <w:spacing w:before="120"/>
    </w:pPr>
    <w:rPr>
      <w:b/>
      <w:bCs/>
      <w:color w:val="C9211E"/>
      <w:sz w:val="20"/>
      <w:szCs w:val="20"/>
    </w:rPr>
  </w:style>
  <w:style w:type="paragraph" w:styleId="TOC2">
    <w:name w:val="toc 2"/>
    <w:basedOn w:val="Normal"/>
    <w:next w:val="Normal"/>
    <w:autoRedefine/>
    <w:pPr>
      <w:tabs>
        <w:tab w:val="right" w:leader="dot" w:pos="8488"/>
      </w:tabs>
      <w:ind w:left="180"/>
    </w:pPr>
    <w:rPr>
      <w:b/>
      <w:color w:val="000000"/>
      <w:sz w:val="19"/>
      <w:szCs w:val="22"/>
    </w:rPr>
  </w:style>
  <w:style w:type="paragraph" w:styleId="TOC3">
    <w:name w:val="toc 3"/>
    <w:basedOn w:val="Normal"/>
    <w:next w:val="Normal"/>
    <w:autoRedefine/>
    <w:pPr>
      <w:ind w:left="360"/>
    </w:pPr>
    <w:rPr>
      <w:sz w:val="19"/>
      <w:szCs w:val="22"/>
    </w:rPr>
  </w:style>
  <w:style w:type="paragraph" w:styleId="TOC4">
    <w:name w:val="toc 4"/>
    <w:basedOn w:val="Normal"/>
    <w:next w:val="Normal"/>
    <w:autoRedefine/>
    <w:pPr>
      <w:ind w:left="540"/>
    </w:pPr>
    <w:rPr>
      <w:rFonts w:ascii="Calibri" w:hAnsi="Calibri"/>
      <w:sz w:val="20"/>
      <w:szCs w:val="20"/>
    </w:rPr>
  </w:style>
  <w:style w:type="paragraph" w:styleId="TOC5">
    <w:name w:val="toc 5"/>
    <w:basedOn w:val="Normal"/>
    <w:next w:val="Normal"/>
    <w:autoRedefine/>
    <w:pPr>
      <w:ind w:left="720"/>
    </w:pPr>
    <w:rPr>
      <w:rFonts w:ascii="Calibri" w:hAnsi="Calibri"/>
      <w:sz w:val="20"/>
      <w:szCs w:val="20"/>
    </w:rPr>
  </w:style>
  <w:style w:type="paragraph" w:styleId="TOC6">
    <w:name w:val="toc 6"/>
    <w:basedOn w:val="Normal"/>
    <w:next w:val="Normal"/>
    <w:autoRedefine/>
    <w:pPr>
      <w:ind w:left="900"/>
    </w:pPr>
    <w:rPr>
      <w:rFonts w:ascii="Calibri" w:hAnsi="Calibri"/>
      <w:sz w:val="20"/>
      <w:szCs w:val="20"/>
    </w:rPr>
  </w:style>
  <w:style w:type="paragraph" w:styleId="TOC7">
    <w:name w:val="toc 7"/>
    <w:basedOn w:val="Normal"/>
    <w:next w:val="Normal"/>
    <w:autoRedefine/>
    <w:pPr>
      <w:ind w:left="1080"/>
    </w:pPr>
    <w:rPr>
      <w:rFonts w:ascii="Calibri" w:hAnsi="Calibri"/>
      <w:sz w:val="20"/>
      <w:szCs w:val="20"/>
    </w:rPr>
  </w:style>
  <w:style w:type="paragraph" w:styleId="TOC8">
    <w:name w:val="toc 8"/>
    <w:basedOn w:val="Normal"/>
    <w:next w:val="Normal"/>
    <w:autoRedefine/>
    <w:pPr>
      <w:ind w:left="1260"/>
    </w:pPr>
    <w:rPr>
      <w:rFonts w:ascii="Calibri" w:hAnsi="Calibri"/>
      <w:sz w:val="20"/>
      <w:szCs w:val="20"/>
    </w:rPr>
  </w:style>
  <w:style w:type="paragraph" w:styleId="TOC9">
    <w:name w:val="toc 9"/>
    <w:basedOn w:val="Normal"/>
    <w:next w:val="Normal"/>
    <w:autoRedefine/>
    <w:pPr>
      <w:ind w:left="1440"/>
    </w:pPr>
    <w:rPr>
      <w:rFonts w:ascii="Calibri" w:hAnsi="Calibri"/>
      <w:sz w:val="20"/>
      <w:szCs w:val="20"/>
    </w:rPr>
  </w:style>
  <w:style w:type="paragraph" w:styleId="DocumentMap">
    <w:name w:val="Document Map"/>
    <w:basedOn w:val="Normal"/>
    <w:qFormat/>
    <w:rPr>
      <w:rFonts w:ascii="Times New Roman" w:hAnsi="Times New Roman" w:cs="Times New Roman"/>
      <w:sz w:val="24"/>
    </w:rPr>
  </w:style>
  <w:style w:type="paragraph" w:styleId="Revision">
    <w:name w:val="Revision"/>
    <w:qFormat/>
    <w:rPr>
      <w:rFonts w:ascii="Roboto Light" w:hAnsi="Roboto Light"/>
      <w:color w:val="595959"/>
      <w:sz w:val="18"/>
    </w:rPr>
  </w:style>
  <w:style w:type="paragraph" w:styleId="BalloonText">
    <w:name w:val="Balloon Text"/>
    <w:basedOn w:val="Normal"/>
    <w:qFormat/>
    <w:rPr>
      <w:rFonts w:ascii="Tahoma" w:hAnsi="Tahoma"/>
      <w:sz w:val="16"/>
      <w:szCs w:val="16"/>
    </w:rPr>
  </w:style>
  <w:style w:type="paragraph" w:customStyle="1" w:styleId="Intro">
    <w:name w:val="Intro"/>
    <w:basedOn w:val="Heading4"/>
    <w:qFormat/>
    <w:pPr>
      <w:spacing w:line="260" w:lineRule="exact"/>
    </w:pPr>
    <w:rPr>
      <w:color w:val="000000"/>
      <w:sz w:val="19"/>
      <w:szCs w:val="19"/>
      <w:lang w:val="en-US"/>
    </w:rPr>
  </w:style>
  <w:style w:type="paragraph" w:customStyle="1" w:styleId="Body">
    <w:name w:val="Body"/>
    <w:basedOn w:val="Normal"/>
    <w:qFormat/>
    <w:pPr>
      <w:spacing w:line="260" w:lineRule="exact"/>
    </w:pPr>
    <w:rPr>
      <w:color w:val="000000"/>
      <w:sz w:val="20"/>
      <w:szCs w:val="19"/>
    </w:rPr>
  </w:style>
  <w:style w:type="paragraph" w:customStyle="1" w:styleId="Bodybullets">
    <w:name w:val="Body bullets"/>
    <w:basedOn w:val="ListParagraph"/>
    <w:qFormat/>
    <w:pPr>
      <w:spacing w:line="260" w:lineRule="exact"/>
    </w:pPr>
    <w:rPr>
      <w:sz w:val="20"/>
      <w:szCs w:val="19"/>
    </w:rPr>
  </w:style>
  <w:style w:type="paragraph" w:customStyle="1" w:styleId="Fullpagequote">
    <w:name w:val="Fullpage quote"/>
    <w:basedOn w:val="Normal"/>
    <w:qFormat/>
    <w:rPr>
      <w:rFonts w:eastAsia="Yu Gothic Light"/>
      <w:b/>
      <w:bCs/>
      <w:color w:val="000000"/>
      <w:sz w:val="144"/>
      <w:szCs w:val="144"/>
      <w:lang w:val="nl-NL"/>
    </w:rPr>
  </w:style>
  <w:style w:type="paragraph" w:customStyle="1" w:styleId="DocumentTitle">
    <w:name w:val="Document Title"/>
    <w:basedOn w:val="Title"/>
    <w:qFormat/>
    <w:pPr>
      <w:spacing w:line="1000" w:lineRule="exact"/>
    </w:pPr>
    <w:rPr>
      <w:rFonts w:ascii="Arial" w:hAnsi="Arial"/>
      <w:color w:val="DA0812"/>
      <w:lang w:val="en-US"/>
    </w:rPr>
  </w:style>
  <w:style w:type="paragraph" w:customStyle="1" w:styleId="DocumentSubtitle">
    <w:name w:val="Document Subtitle"/>
    <w:basedOn w:val="Heading5"/>
    <w:qFormat/>
    <w:rPr>
      <w:color w:val="008542"/>
      <w:sz w:val="32"/>
    </w:rPr>
  </w:style>
  <w:style w:type="paragraph" w:customStyle="1" w:styleId="Bijschrift1">
    <w:name w:val="Bijschrift1"/>
    <w:basedOn w:val="Normal"/>
    <w:qFormat/>
    <w:rPr>
      <w:color w:val="auto"/>
    </w:rPr>
  </w:style>
  <w:style w:type="paragraph" w:customStyle="1" w:styleId="FrameContents">
    <w:name w:val="Frame Contents"/>
    <w:basedOn w:val="Normal"/>
    <w:qFormat/>
  </w:style>
  <w:style w:type="paragraph" w:customStyle="1" w:styleId="Figure">
    <w:name w:val="Figure"/>
    <w:basedOn w:val="Caption"/>
    <w:qFormat/>
  </w:style>
  <w:style w:type="paragraph" w:styleId="EndnoteText">
    <w:name w:val="endnote text"/>
    <w:basedOn w:val="Normal"/>
    <w:pPr>
      <w:suppressLineNumbers/>
      <w:ind w:left="339" w:hanging="339"/>
    </w:pPr>
    <w:rPr>
      <w:sz w:val="20"/>
      <w:szCs w:val="20"/>
    </w:rPr>
  </w:style>
  <w:style w:type="paragraph" w:customStyle="1" w:styleId="Text">
    <w:name w:val="Text"/>
    <w:basedOn w:val="Caption"/>
    <w:qFormat/>
  </w:style>
  <w:style w:type="paragraph" w:styleId="FootnoteText">
    <w:name w:val="footnote text"/>
    <w:basedOn w:val="Normal"/>
    <w:pPr>
      <w:suppressLineNumbers/>
      <w:ind w:left="339" w:hanging="339"/>
    </w:pPr>
    <w:rPr>
      <w:sz w:val="20"/>
      <w:szCs w:val="20"/>
    </w:rPr>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paragraph" w:customStyle="1" w:styleId="Quotations">
    <w:name w:val="Quotations"/>
    <w:basedOn w:val="Normal"/>
    <w:qFormat/>
    <w:pPr>
      <w:spacing w:after="283"/>
      <w:ind w:left="567" w:right="567"/>
    </w:pPr>
  </w:style>
  <w:style w:type="paragraph" w:customStyle="1" w:styleId="Pa14">
    <w:name w:val="Pa14"/>
    <w:basedOn w:val="Normal"/>
    <w:next w:val="Normal"/>
    <w:qFormat/>
    <w:pPr>
      <w:spacing w:line="221" w:lineRule="atLeast"/>
    </w:pPr>
    <w:rPr>
      <w:rFonts w:ascii="Gill Sans MT" w:hAnsi="Gill Sans MT"/>
      <w:lang w:val="en-GB"/>
    </w:rPr>
  </w:style>
  <w:style w:type="paragraph" w:customStyle="1" w:styleId="Pa11">
    <w:name w:val="Pa11"/>
    <w:basedOn w:val="Normal"/>
    <w:next w:val="Normal"/>
    <w:qFormat/>
    <w:pPr>
      <w:spacing w:line="221" w:lineRule="atLeast"/>
    </w:pPr>
    <w:rPr>
      <w:rFonts w:ascii="Gill Sans MT" w:hAnsi="Gill Sans MT"/>
      <w:lang w:val="en-GB"/>
    </w:rPr>
  </w:style>
  <w:style w:type="paragraph" w:styleId="Bibliography">
    <w:name w:val="Bibliography"/>
    <w:basedOn w:val="Normal"/>
    <w:next w:val="Normal"/>
    <w:qFormat/>
  </w:style>
  <w:style w:type="paragraph" w:customStyle="1" w:styleId="Table">
    <w:name w:val="Table"/>
    <w:basedOn w:val="Caption"/>
    <w:qFormat/>
  </w:style>
  <w:style w:type="paragraph" w:styleId="NormalWeb">
    <w:name w:val="Normal (Web)"/>
    <w:basedOn w:val="Normal"/>
    <w:qFormat/>
    <w:pPr>
      <w:spacing w:before="280" w:after="280"/>
    </w:pPr>
    <w:rPr>
      <w:rFonts w:ascii="Times New Roman" w:eastAsia="Times New Roman" w:hAnsi="Times New Roman" w:cs="Times New Roman"/>
      <w:sz w:val="24"/>
      <w:lang w:val="en-GB" w:eastAsia="en-GB"/>
    </w:rPr>
  </w:style>
  <w:style w:type="character" w:styleId="UnresolvedMention">
    <w:name w:val="Unresolved Mention"/>
    <w:basedOn w:val="DefaultParagraphFont"/>
    <w:uiPriority w:val="99"/>
    <w:semiHidden/>
    <w:unhideWhenUsed/>
    <w:rsid w:val="0055011C"/>
    <w:rPr>
      <w:color w:val="605E5C"/>
      <w:shd w:val="clear" w:color="auto" w:fill="E1DFDD"/>
    </w:rPr>
  </w:style>
  <w:style w:type="table" w:styleId="GridTable4-Accent3">
    <w:name w:val="Grid Table 4 Accent 3"/>
    <w:basedOn w:val="TableNormal"/>
    <w:uiPriority w:val="49"/>
    <w:rsid w:val="002B20CA"/>
    <w:pPr>
      <w:suppressAutoHyphens w:val="0"/>
    </w:pPr>
    <w:rPr>
      <w:rFonts w:asciiTheme="minorHAnsi" w:eastAsiaTheme="minorEastAsia" w:hAnsiTheme="minorHAnsi" w:cstheme="minorBidi"/>
      <w:sz w:val="21"/>
      <w:szCs w:val="21"/>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6">
    <w:name w:val="List Table 4 Accent 6"/>
    <w:basedOn w:val="TableNormal"/>
    <w:uiPriority w:val="49"/>
    <w:rsid w:val="00AB07D3"/>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6">
    <w:name w:val="Grid Table 4 Accent 6"/>
    <w:basedOn w:val="TableNormal"/>
    <w:uiPriority w:val="49"/>
    <w:rsid w:val="00AB07D3"/>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chart" Target="charts/chart4.xml"/><Relationship Id="rId21" Type="http://schemas.openxmlformats.org/officeDocument/2006/relationships/header" Target="header4.xml"/><Relationship Id="rId42" Type="http://schemas.openxmlformats.org/officeDocument/2006/relationships/chart" Target="charts/chart8.xml"/><Relationship Id="rId47" Type="http://schemas.openxmlformats.org/officeDocument/2006/relationships/header" Target="header7.xml"/><Relationship Id="rId63" Type="http://schemas.openxmlformats.org/officeDocument/2006/relationships/hyperlink" Target="https://www.chathamhouse.org/publications/papers/view/198263" TargetMode="External"/><Relationship Id="rId68" Type="http://schemas.openxmlformats.org/officeDocument/2006/relationships/image" Target="media/image15.png"/><Relationship Id="rId84" Type="http://schemas.openxmlformats.org/officeDocument/2006/relationships/image" Target="media/image17.png"/><Relationship Id="rId89" Type="http://schemas.openxmlformats.org/officeDocument/2006/relationships/fontTable" Target="fontTable.xml"/><Relationship Id="rId16" Type="http://schemas.openxmlformats.org/officeDocument/2006/relationships/footer" Target="footer2.xml"/><Relationship Id="rId11" Type="http://schemas.openxmlformats.org/officeDocument/2006/relationships/hyperlink" Target="https://creativecommons.org/licenses/by-nc-sa/3.0/" TargetMode="External"/><Relationship Id="rId32" Type="http://schemas.openxmlformats.org/officeDocument/2006/relationships/image" Target="media/image6.emf"/><Relationship Id="rId37" Type="http://schemas.openxmlformats.org/officeDocument/2006/relationships/header" Target="header6.xml"/><Relationship Id="rId53" Type="http://schemas.openxmlformats.org/officeDocument/2006/relationships/footer" Target="footer12.xml"/><Relationship Id="rId58" Type="http://schemas.openxmlformats.org/officeDocument/2006/relationships/hyperlink" Target="https://doi.org/10.1093/heapol/czw132" TargetMode="External"/><Relationship Id="rId74" Type="http://schemas.openxmlformats.org/officeDocument/2006/relationships/hyperlink" Target="mailto:info@ngobureau.or.ke" TargetMode="External"/><Relationship Id="rId79" Type="http://schemas.openxmlformats.org/officeDocument/2006/relationships/hyperlink" Target="http://www.devolutionplanning.go.ke/" TargetMode="Externa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4.png"/><Relationship Id="rId22" Type="http://schemas.openxmlformats.org/officeDocument/2006/relationships/footer" Target="footer4.xml"/><Relationship Id="rId27" Type="http://schemas.openxmlformats.org/officeDocument/2006/relationships/chart" Target="charts/chart5.xml"/><Relationship Id="rId30" Type="http://schemas.openxmlformats.org/officeDocument/2006/relationships/footer" Target="footer6.xml"/><Relationship Id="rId35" Type="http://schemas.openxmlformats.org/officeDocument/2006/relationships/image" Target="media/image8.png"/><Relationship Id="rId43" Type="http://schemas.openxmlformats.org/officeDocument/2006/relationships/image" Target="media/image12.png"/><Relationship Id="rId48" Type="http://schemas.openxmlformats.org/officeDocument/2006/relationships/footer" Target="footer9.xml"/><Relationship Id="rId56" Type="http://schemas.openxmlformats.org/officeDocument/2006/relationships/hyperlink" Target="https://www.afrocave.com/vertical-process-of-sharing-national-revenue-kenya/" TargetMode="External"/><Relationship Id="rId64" Type="http://schemas.openxmlformats.org/officeDocument/2006/relationships/hyperlink" Target="https://www.who.int/pmnch/media/events/2013/progress_report.pdf?ua=1" TargetMode="External"/><Relationship Id="rId69" Type="http://schemas.openxmlformats.org/officeDocument/2006/relationships/header" Target="header11.xml"/><Relationship Id="rId77" Type="http://schemas.openxmlformats.org/officeDocument/2006/relationships/hyperlink" Target="http://www.labour.go.ke/" TargetMode="External"/><Relationship Id="rId8" Type="http://schemas.openxmlformats.org/officeDocument/2006/relationships/image" Target="media/image1.jpg"/><Relationship Id="rId51" Type="http://schemas.openxmlformats.org/officeDocument/2006/relationships/footer" Target="footer11.xml"/><Relationship Id="rId72" Type="http://schemas.openxmlformats.org/officeDocument/2006/relationships/header" Target="header12.xml"/><Relationship Id="rId80" Type="http://schemas.openxmlformats.org/officeDocument/2006/relationships/hyperlink" Target="mailto:info@ngos-support.org" TargetMode="External"/><Relationship Id="rId85" Type="http://schemas.openxmlformats.org/officeDocument/2006/relationships/image" Target="media/image18.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chart" Target="charts/chart3.xml"/><Relationship Id="rId33" Type="http://schemas.openxmlformats.org/officeDocument/2006/relationships/image" Target="media/image7.png"/><Relationship Id="rId38" Type="http://schemas.openxmlformats.org/officeDocument/2006/relationships/footer" Target="footer8.xml"/><Relationship Id="rId46" Type="http://schemas.openxmlformats.org/officeDocument/2006/relationships/image" Target="media/image14.png"/><Relationship Id="rId59" Type="http://schemas.openxmlformats.org/officeDocument/2006/relationships/hyperlink" Target="https://www.crakenya.org/" TargetMode="External"/><Relationship Id="rId67" Type="http://schemas.openxmlformats.org/officeDocument/2006/relationships/hyperlink" Target="http://documents1.worldbank.org/curated/en/231501494574792952/pdf/Inclusive-and-effective-citizen-engagement-participatory-budgeting-Makueni-and-West-Pokot-counties.pdf" TargetMode="External"/><Relationship Id="rId20" Type="http://schemas.openxmlformats.org/officeDocument/2006/relationships/chart" Target="charts/chart1.xml"/><Relationship Id="rId41" Type="http://schemas.openxmlformats.org/officeDocument/2006/relationships/chart" Target="charts/chart7.xml"/><Relationship Id="rId54" Type="http://schemas.openxmlformats.org/officeDocument/2006/relationships/header" Target="header10.xml"/><Relationship Id="rId62" Type="http://schemas.openxmlformats.org/officeDocument/2006/relationships/hyperlink" Target="https://sokodirectory.com/2016/11/kenyan-constitution-chapter-twelve-part-1-article-201-203/" TargetMode="External"/><Relationship Id="rId70" Type="http://schemas.openxmlformats.org/officeDocument/2006/relationships/footer" Target="footer14.xml"/><Relationship Id="rId75" Type="http://schemas.openxmlformats.org/officeDocument/2006/relationships/hyperlink" Target="http://www.ngobureau.or.ke/" TargetMode="External"/><Relationship Id="rId83" Type="http://schemas.openxmlformats.org/officeDocument/2006/relationships/hyperlink" Target="http://www.eaag.org/%20%20target=" TargetMode="External"/><Relationship Id="rId88"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chart" Target="charts/chart6.xml"/><Relationship Id="rId36" Type="http://schemas.openxmlformats.org/officeDocument/2006/relationships/image" Target="media/image9.png"/><Relationship Id="rId49" Type="http://schemas.openxmlformats.org/officeDocument/2006/relationships/footer" Target="footer10.xml"/><Relationship Id="rId57" Type="http://schemas.openxmlformats.org/officeDocument/2006/relationships/hyperlink" Target="https://www.afrocave.com/budget-process-in-kenya/" TargetMode="External"/><Relationship Id="rId10" Type="http://schemas.openxmlformats.org/officeDocument/2006/relationships/hyperlink" Target="https://creativecommons.org/licenses/by-nc-sa/3.0/" TargetMode="External"/><Relationship Id="rId31" Type="http://schemas.openxmlformats.org/officeDocument/2006/relationships/footer" Target="footer7.xml"/><Relationship Id="rId44" Type="http://schemas.openxmlformats.org/officeDocument/2006/relationships/chart" Target="charts/chart9.xml"/><Relationship Id="rId52" Type="http://schemas.openxmlformats.org/officeDocument/2006/relationships/header" Target="header9.xml"/><Relationship Id="rId60" Type="http://schemas.openxmlformats.org/officeDocument/2006/relationships/hyperlink" Target="https://www.afrocave.com/division-of-revenue-and-allocation-of-revenue-in-kenya/" TargetMode="External"/><Relationship Id="rId65" Type="http://schemas.openxmlformats.org/officeDocument/2006/relationships/hyperlink" Target="http://expertise.co.ke/" TargetMode="External"/><Relationship Id="rId73" Type="http://schemas.openxmlformats.org/officeDocument/2006/relationships/footer" Target="footer15.xml"/><Relationship Id="rId78" Type="http://schemas.openxmlformats.org/officeDocument/2006/relationships/hyperlink" Target="mailto:info@devolutionplanning.go.ke" TargetMode="External"/><Relationship Id="rId81" Type="http://schemas.openxmlformats.org/officeDocument/2006/relationships/hyperlink" Target="http://ngos-support.org/" TargetMode="External"/><Relationship Id="rId86"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brewminate.com/sociological-perspective-and-the-elements-of-culture/" TargetMode="External"/><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image" Target="media/image10.png"/><Relationship Id="rId34" Type="http://schemas.openxmlformats.org/officeDocument/2006/relationships/hyperlink" Target="https://www.afrocave.com/county-revenue-fund-kenya/" TargetMode="External"/><Relationship Id="rId50" Type="http://schemas.openxmlformats.org/officeDocument/2006/relationships/header" Target="header8.xml"/><Relationship Id="rId55" Type="http://schemas.openxmlformats.org/officeDocument/2006/relationships/footer" Target="footer13.xml"/><Relationship Id="rId76" Type="http://schemas.openxmlformats.org/officeDocument/2006/relationships/hyperlink" Target="mailto:info@labour.go.ke" TargetMode="External"/><Relationship Id="rId7" Type="http://schemas.openxmlformats.org/officeDocument/2006/relationships/endnotes" Target="endnotes.xml"/><Relationship Id="rId71" Type="http://schemas.openxmlformats.org/officeDocument/2006/relationships/image" Target="media/image16.jpeg"/><Relationship Id="rId2" Type="http://schemas.openxmlformats.org/officeDocument/2006/relationships/numbering" Target="numbering.xml"/><Relationship Id="rId29" Type="http://schemas.openxmlformats.org/officeDocument/2006/relationships/header" Target="header5.xml"/><Relationship Id="rId24" Type="http://schemas.openxmlformats.org/officeDocument/2006/relationships/chart" Target="charts/chart2.xml"/><Relationship Id="rId40" Type="http://schemas.openxmlformats.org/officeDocument/2006/relationships/image" Target="media/image11.png"/><Relationship Id="rId45" Type="http://schemas.openxmlformats.org/officeDocument/2006/relationships/image" Target="media/image13.png"/><Relationship Id="rId66" Type="http://schemas.openxmlformats.org/officeDocument/2006/relationships/hyperlink" Target="https://www.afrocave.com/vertical-process-of-sharing-national-revenue-kenya/" TargetMode="External"/><Relationship Id="rId87" Type="http://schemas.openxmlformats.org/officeDocument/2006/relationships/header" Target="header13.xml"/><Relationship Id="rId61" Type="http://schemas.openxmlformats.org/officeDocument/2006/relationships/hyperlink" Target="https://www.hfgproject.org/engaging-civil-society-in-health-finance-and-governance-a-guide-for-practitioners/" TargetMode="External"/><Relationship Id="rId82" Type="http://schemas.openxmlformats.org/officeDocument/2006/relationships/hyperlink" Target="mailto:info@eaag.org" TargetMode="External"/><Relationship Id="rId19"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E:\Consultancy\LVCT-%20PITCH\Deliverables\Data%20Collection%20Tools\Book1%20Tools%20(version%201).xlsb.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1.xml"/><Relationship Id="rId4" Type="http://schemas.openxmlformats.org/officeDocument/2006/relationships/oleObject" Target="file:///E:\Consultancy\LVCT-%20PITCH\Deliverables\Data%20Collection%20Tools\Book1%20Tools%20(version%201).xlsb.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E:\Consultancy\LVCT-%20PITCH\Deliverables\Data%20Collection%20Tools\Book1%20Tools%20(version%201).xlsb.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2.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3.xml"/><Relationship Id="rId4" Type="http://schemas.openxmlformats.org/officeDocument/2006/relationships/oleObject" Target="file:///E:\Consultancy\LVCT-%20PITCH\Deliverables\Data%20Collection%20Tools\Book1%20Tools%20(version%201).xlsb.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E:\Consultancy\LVCT-%20PITCH\Deliverables\Data%20Collection%20Tools\Book1%20Tools%20(version%201).xlsb.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chartUserShapes" Target="../drawings/drawing4.xml"/><Relationship Id="rId4" Type="http://schemas.openxmlformats.org/officeDocument/2006/relationships/oleObject" Target="file:///E:\Consultancy\UHC%20OPP\Copy%20of%20Analysis%20Sheet%20%20040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none" spc="120" normalizeH="0" baseline="0">
                <a:solidFill>
                  <a:srgbClr val="0070C0"/>
                </a:solidFill>
                <a:latin typeface="Franklin Gothic Demi" panose="020B0703020102020204" pitchFamily="34" charset="0"/>
                <a:ea typeface="+mn-ea"/>
                <a:cs typeface="+mn-cs"/>
              </a:defRPr>
            </a:pPr>
            <a:r>
              <a:rPr lang="en-US" sz="1400" cap="none">
                <a:solidFill>
                  <a:srgbClr val="0070C0"/>
                </a:solidFill>
                <a:latin typeface="Franklin Gothic Demi" panose="020B0703020102020204" pitchFamily="34" charset="0"/>
              </a:rPr>
              <a:t>Trends</a:t>
            </a:r>
            <a:r>
              <a:rPr lang="en-US" sz="1400" cap="none" baseline="0">
                <a:solidFill>
                  <a:srgbClr val="0070C0"/>
                </a:solidFill>
                <a:latin typeface="Franklin Gothic Demi" panose="020B0703020102020204" pitchFamily="34" charset="0"/>
              </a:rPr>
              <a:t> in Govt. Revenues</a:t>
            </a:r>
            <a:endParaRPr lang="en-US" sz="1400" cap="none">
              <a:solidFill>
                <a:srgbClr val="0070C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400" b="1" i="0" u="none" strike="noStrike" kern="1200" cap="none" spc="120" normalizeH="0" baseline="0">
              <a:solidFill>
                <a:srgbClr val="0070C0"/>
              </a:solidFill>
              <a:latin typeface="Franklin Gothic Demi" panose="020B0703020102020204" pitchFamily="34" charset="0"/>
              <a:ea typeface="+mn-ea"/>
              <a:cs typeface="+mn-cs"/>
            </a:defRPr>
          </a:pPr>
          <a:endParaRPr lang="en-KE"/>
        </a:p>
      </c:txPr>
    </c:title>
    <c:autoTitleDeleted val="0"/>
    <c:plotArea>
      <c:layout/>
      <c:barChart>
        <c:barDir val="col"/>
        <c:grouping val="percentStacked"/>
        <c:varyColors val="0"/>
        <c:ser>
          <c:idx val="7"/>
          <c:order val="7"/>
          <c:tx>
            <c:strRef>
              <c:f>Incomes!$A$9</c:f>
              <c:strCache>
                <c:ptCount val="1"/>
                <c:pt idx="0">
                  <c:v>Tax Revenue</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badi Extra Light" panose="020B0204020104020204" pitchFamily="34" charset="0"/>
                    <a:ea typeface="+mn-ea"/>
                    <a:cs typeface="+mn-cs"/>
                  </a:defRPr>
                </a:pPr>
                <a:endParaRPr lang="en-K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Incomes!$B$1:$F$1</c:f>
              <c:strCache>
                <c:ptCount val="5"/>
                <c:pt idx="0">
                  <c:v>14/15</c:v>
                </c:pt>
                <c:pt idx="1">
                  <c:v>15/16</c:v>
                </c:pt>
                <c:pt idx="2">
                  <c:v>16/17</c:v>
                </c:pt>
                <c:pt idx="3">
                  <c:v>17/18</c:v>
                </c:pt>
                <c:pt idx="4">
                  <c:v>18/19</c:v>
                </c:pt>
              </c:strCache>
            </c:strRef>
          </c:cat>
          <c:val>
            <c:numRef>
              <c:f>Incomes!$B$9:$F$9</c:f>
              <c:numCache>
                <c:formatCode>0</c:formatCode>
                <c:ptCount val="5"/>
                <c:pt idx="0">
                  <c:v>25.709467476007219</c:v>
                </c:pt>
                <c:pt idx="1">
                  <c:v>24.542142883959773</c:v>
                </c:pt>
                <c:pt idx="2">
                  <c:v>23.030373828342618</c:v>
                </c:pt>
                <c:pt idx="3">
                  <c:v>21.488439381152016</c:v>
                </c:pt>
                <c:pt idx="4">
                  <c:v>21.255357658692827</c:v>
                </c:pt>
              </c:numCache>
            </c:numRef>
          </c:val>
          <c:extLst>
            <c:ext xmlns:c16="http://schemas.microsoft.com/office/drawing/2014/chart" uri="{C3380CC4-5D6E-409C-BE32-E72D297353CC}">
              <c16:uniqueId val="{00000000-5251-4411-BBC1-3DA5BB7841E8}"/>
            </c:ext>
          </c:extLst>
        </c:ser>
        <c:ser>
          <c:idx val="8"/>
          <c:order val="8"/>
          <c:tx>
            <c:strRef>
              <c:f>Incomes!$A$10</c:f>
              <c:strCache>
                <c:ptCount val="1"/>
                <c:pt idx="0">
                  <c:v>Grants</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lt1"/>
                    </a:solidFill>
                    <a:latin typeface="Abadi Extra Light" panose="020B0204020104020204" pitchFamily="34" charset="0"/>
                    <a:ea typeface="+mn-ea"/>
                    <a:cs typeface="+mn-cs"/>
                  </a:defRPr>
                </a:pPr>
                <a:endParaRPr lang="en-K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Incomes!$B$1:$F$1</c:f>
              <c:strCache>
                <c:ptCount val="5"/>
                <c:pt idx="0">
                  <c:v>14/15</c:v>
                </c:pt>
                <c:pt idx="1">
                  <c:v>15/16</c:v>
                </c:pt>
                <c:pt idx="2">
                  <c:v>16/17</c:v>
                </c:pt>
                <c:pt idx="3">
                  <c:v>17/18</c:v>
                </c:pt>
                <c:pt idx="4">
                  <c:v>18/19</c:v>
                </c:pt>
              </c:strCache>
            </c:strRef>
          </c:cat>
          <c:val>
            <c:numRef>
              <c:f>Incomes!$B$10:$F$10</c:f>
              <c:numCache>
                <c:formatCode>0</c:formatCode>
                <c:ptCount val="5"/>
                <c:pt idx="0">
                  <c:v>0.70760355936230379</c:v>
                </c:pt>
                <c:pt idx="1">
                  <c:v>0.63314426366314402</c:v>
                </c:pt>
                <c:pt idx="2">
                  <c:v>0.46360869615492944</c:v>
                </c:pt>
                <c:pt idx="3">
                  <c:v>0.43899996201397123</c:v>
                </c:pt>
                <c:pt idx="4">
                  <c:v>0.64787322736291497</c:v>
                </c:pt>
              </c:numCache>
            </c:numRef>
          </c:val>
          <c:extLst>
            <c:ext xmlns:c16="http://schemas.microsoft.com/office/drawing/2014/chart" uri="{C3380CC4-5D6E-409C-BE32-E72D297353CC}">
              <c16:uniqueId val="{00000001-5251-4411-BBC1-3DA5BB7841E8}"/>
            </c:ext>
          </c:extLst>
        </c:ser>
        <c:ser>
          <c:idx val="9"/>
          <c:order val="9"/>
          <c:tx>
            <c:strRef>
              <c:f>Incomes!$A$11</c:f>
              <c:strCache>
                <c:ptCount val="1"/>
                <c:pt idx="0">
                  <c:v>Other Income</c:v>
                </c:pt>
              </c:strCache>
            </c:strRef>
          </c:tx>
          <c:spPr>
            <a:solidFill>
              <a:schemeClr val="bg2">
                <a:lumMod val="7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lt1"/>
                    </a:solidFill>
                    <a:latin typeface="Abadi Extra Light" panose="020B0204020104020204" pitchFamily="34" charset="0"/>
                    <a:ea typeface="+mn-ea"/>
                    <a:cs typeface="+mn-cs"/>
                  </a:defRPr>
                </a:pPr>
                <a:endParaRPr lang="en-K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Incomes!$B$1:$F$1</c:f>
              <c:strCache>
                <c:ptCount val="5"/>
                <c:pt idx="0">
                  <c:v>14/15</c:v>
                </c:pt>
                <c:pt idx="1">
                  <c:v>15/16</c:v>
                </c:pt>
                <c:pt idx="2">
                  <c:v>16/17</c:v>
                </c:pt>
                <c:pt idx="3">
                  <c:v>17/18</c:v>
                </c:pt>
                <c:pt idx="4">
                  <c:v>18/19</c:v>
                </c:pt>
              </c:strCache>
            </c:strRef>
          </c:cat>
          <c:val>
            <c:numRef>
              <c:f>Incomes!$B$11:$F$11</c:f>
              <c:numCache>
                <c:formatCode>0</c:formatCode>
                <c:ptCount val="5"/>
                <c:pt idx="0">
                  <c:v>8.1153984479499677</c:v>
                </c:pt>
                <c:pt idx="1">
                  <c:v>6.2988600734337208</c:v>
                </c:pt>
                <c:pt idx="2">
                  <c:v>5.4293184538079187</c:v>
                </c:pt>
                <c:pt idx="3">
                  <c:v>5.8981395972651951</c:v>
                </c:pt>
                <c:pt idx="4">
                  <c:v>5.759409065828164</c:v>
                </c:pt>
              </c:numCache>
            </c:numRef>
          </c:val>
          <c:extLst>
            <c:ext xmlns:c16="http://schemas.microsoft.com/office/drawing/2014/chart" uri="{C3380CC4-5D6E-409C-BE32-E72D297353CC}">
              <c16:uniqueId val="{00000002-5251-4411-BBC1-3DA5BB7841E8}"/>
            </c:ext>
          </c:extLst>
        </c:ser>
        <c:ser>
          <c:idx val="10"/>
          <c:order val="10"/>
          <c:tx>
            <c:strRef>
              <c:f>Incomes!$A$12</c:f>
              <c:strCache>
                <c:ptCount val="1"/>
                <c:pt idx="0">
                  <c:v>External Debt</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lt1"/>
                    </a:solidFill>
                    <a:latin typeface="Abadi Extra Light" panose="020B0204020104020204" pitchFamily="34" charset="0"/>
                    <a:ea typeface="+mn-ea"/>
                    <a:cs typeface="+mn-cs"/>
                  </a:defRPr>
                </a:pPr>
                <a:endParaRPr lang="en-K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Incomes!$B$1:$F$1</c:f>
              <c:strCache>
                <c:ptCount val="5"/>
                <c:pt idx="0">
                  <c:v>14/15</c:v>
                </c:pt>
                <c:pt idx="1">
                  <c:v>15/16</c:v>
                </c:pt>
                <c:pt idx="2">
                  <c:v>16/17</c:v>
                </c:pt>
                <c:pt idx="3">
                  <c:v>17/18</c:v>
                </c:pt>
                <c:pt idx="4">
                  <c:v>18/19</c:v>
                </c:pt>
              </c:strCache>
            </c:strRef>
          </c:cat>
          <c:val>
            <c:numRef>
              <c:f>Incomes!$B$12:$F$12</c:f>
              <c:numCache>
                <c:formatCode>0</c:formatCode>
                <c:ptCount val="5"/>
                <c:pt idx="0">
                  <c:v>35.817505435028934</c:v>
                </c:pt>
                <c:pt idx="1">
                  <c:v>38.424990782546061</c:v>
                </c:pt>
                <c:pt idx="2">
                  <c:v>41.058897561253922</c:v>
                </c:pt>
                <c:pt idx="3">
                  <c:v>40.852217523415966</c:v>
                </c:pt>
                <c:pt idx="4">
                  <c:v>41.248681111073701</c:v>
                </c:pt>
              </c:numCache>
            </c:numRef>
          </c:val>
          <c:extLst>
            <c:ext xmlns:c16="http://schemas.microsoft.com/office/drawing/2014/chart" uri="{C3380CC4-5D6E-409C-BE32-E72D297353CC}">
              <c16:uniqueId val="{00000003-5251-4411-BBC1-3DA5BB7841E8}"/>
            </c:ext>
          </c:extLst>
        </c:ser>
        <c:ser>
          <c:idx val="11"/>
          <c:order val="11"/>
          <c:tx>
            <c:strRef>
              <c:f>Incomes!$A$13</c:f>
              <c:strCache>
                <c:ptCount val="1"/>
                <c:pt idx="0">
                  <c:v>Domestic Debt</c:v>
                </c:pt>
              </c:strCache>
            </c:strRef>
          </c:tx>
          <c:spPr>
            <a:solidFill>
              <a:schemeClr val="accent5">
                <a:lumMod val="7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lt1"/>
                    </a:solidFill>
                    <a:latin typeface="Abadi Extra Light" panose="020B0204020104020204" pitchFamily="34" charset="0"/>
                    <a:ea typeface="+mn-ea"/>
                    <a:cs typeface="+mn-cs"/>
                  </a:defRPr>
                </a:pPr>
                <a:endParaRPr lang="en-K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Incomes!$B$1:$F$1</c:f>
              <c:strCache>
                <c:ptCount val="5"/>
                <c:pt idx="0">
                  <c:v>14/15</c:v>
                </c:pt>
                <c:pt idx="1">
                  <c:v>15/16</c:v>
                </c:pt>
                <c:pt idx="2">
                  <c:v>16/17</c:v>
                </c:pt>
                <c:pt idx="3">
                  <c:v>17/18</c:v>
                </c:pt>
                <c:pt idx="4">
                  <c:v>18/19</c:v>
                </c:pt>
              </c:strCache>
            </c:strRef>
          </c:cat>
          <c:val>
            <c:numRef>
              <c:f>Incomes!$B$13:$F$13</c:f>
              <c:numCache>
                <c:formatCode>0</c:formatCode>
                <c:ptCount val="5"/>
                <c:pt idx="0">
                  <c:v>29.650025081651577</c:v>
                </c:pt>
                <c:pt idx="1">
                  <c:v>30.100861996397306</c:v>
                </c:pt>
                <c:pt idx="2">
                  <c:v>30.017801460440623</c:v>
                </c:pt>
                <c:pt idx="3">
                  <c:v>39.4276431510457</c:v>
                </c:pt>
                <c:pt idx="4">
                  <c:v>38.012201157183199</c:v>
                </c:pt>
              </c:numCache>
            </c:numRef>
          </c:val>
          <c:extLst>
            <c:ext xmlns:c16="http://schemas.microsoft.com/office/drawing/2014/chart" uri="{C3380CC4-5D6E-409C-BE32-E72D297353CC}">
              <c16:uniqueId val="{00000004-5251-4411-BBC1-3DA5BB7841E8}"/>
            </c:ext>
          </c:extLst>
        </c:ser>
        <c:dLbls>
          <c:dLblPos val="ctr"/>
          <c:showLegendKey val="0"/>
          <c:showVal val="1"/>
          <c:showCatName val="0"/>
          <c:showSerName val="0"/>
          <c:showPercent val="0"/>
          <c:showBubbleSize val="0"/>
        </c:dLbls>
        <c:gapWidth val="79"/>
        <c:overlap val="100"/>
        <c:axId val="1180079151"/>
        <c:axId val="1092813071"/>
        <c:extLst>
          <c:ext xmlns:c15="http://schemas.microsoft.com/office/drawing/2012/chart" uri="{02D57815-91ED-43cb-92C2-25804820EDAC}">
            <c15:filteredBarSeries>
              <c15:ser>
                <c:idx val="0"/>
                <c:order val="0"/>
                <c:tx>
                  <c:strRef>
                    <c:extLst>
                      <c:ext uri="{02D57815-91ED-43cb-92C2-25804820EDAC}">
                        <c15:formulaRef>
                          <c15:sqref>Incomes!$A$2</c15:sqref>
                        </c15:formulaRef>
                      </c:ext>
                    </c:extLst>
                    <c:strCache>
                      <c:ptCount val="1"/>
                      <c:pt idx="0">
                        <c:v>Tax Revenue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Abadi Extra Light" panose="020B0204020104020204" pitchFamily="34" charset="0"/>
                          <a:ea typeface="+mn-ea"/>
                          <a:cs typeface="+mn-cs"/>
                        </a:defRPr>
                      </a:pPr>
                      <a:endParaRPr lang="en-KE"/>
                    </a:p>
                  </c:txPr>
                  <c:dLblPos val="ctr"/>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strRef>
                    <c:extLst>
                      <c:ext uri="{02D57815-91ED-43cb-92C2-25804820EDAC}">
                        <c15:formulaRef>
                          <c15:sqref>Incomes!$B$1:$F$1</c15:sqref>
                        </c15:formulaRef>
                      </c:ext>
                    </c:extLst>
                    <c:strCache>
                      <c:ptCount val="5"/>
                      <c:pt idx="0">
                        <c:v>14/15</c:v>
                      </c:pt>
                      <c:pt idx="1">
                        <c:v>15/16</c:v>
                      </c:pt>
                      <c:pt idx="2">
                        <c:v>16/17</c:v>
                      </c:pt>
                      <c:pt idx="3">
                        <c:v>17/18</c:v>
                      </c:pt>
                      <c:pt idx="4">
                        <c:v>18/19</c:v>
                      </c:pt>
                    </c:strCache>
                  </c:strRef>
                </c:cat>
                <c:val>
                  <c:numRef>
                    <c:extLst>
                      <c:ext uri="{02D57815-91ED-43cb-92C2-25804820EDAC}">
                        <c15:formulaRef>
                          <c15:sqref>Incomes!$B$2:$F$2</c15:sqref>
                        </c15:formulaRef>
                      </c:ext>
                    </c:extLst>
                    <c:numCache>
                      <c:formatCode>#,##0.00</c:formatCode>
                      <c:ptCount val="5"/>
                      <c:pt idx="0">
                        <c:v>1021597.03</c:v>
                      </c:pt>
                      <c:pt idx="1">
                        <c:v>1147236.0900000001</c:v>
                      </c:pt>
                      <c:pt idx="2">
                        <c:v>1286814.8899999999</c:v>
                      </c:pt>
                      <c:pt idx="3">
                        <c:v>1350988.58</c:v>
                      </c:pt>
                      <c:pt idx="4">
                        <c:v>1557817.34</c:v>
                      </c:pt>
                    </c:numCache>
                  </c:numRef>
                </c:val>
                <c:extLst>
                  <c:ext xmlns:c16="http://schemas.microsoft.com/office/drawing/2014/chart" uri="{C3380CC4-5D6E-409C-BE32-E72D297353CC}">
                    <c16:uniqueId val="{00000005-5251-4411-BBC1-3DA5BB7841E8}"/>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Incomes!$A$3</c15:sqref>
                        </c15:formulaRef>
                      </c:ext>
                    </c:extLst>
                    <c:strCache>
                      <c:ptCount val="1"/>
                      <c:pt idx="0">
                        <c:v>Grants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Abadi Extra Light" panose="020B0204020104020204" pitchFamily="34" charset="0"/>
                          <a:ea typeface="+mn-ea"/>
                          <a:cs typeface="+mn-cs"/>
                        </a:defRPr>
                      </a:pPr>
                      <a:endParaRPr lang="en-KE"/>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Incomes!$B$1:$F$1</c15:sqref>
                        </c15:formulaRef>
                      </c:ext>
                    </c:extLst>
                    <c:strCache>
                      <c:ptCount val="5"/>
                      <c:pt idx="0">
                        <c:v>14/15</c:v>
                      </c:pt>
                      <c:pt idx="1">
                        <c:v>15/16</c:v>
                      </c:pt>
                      <c:pt idx="2">
                        <c:v>16/17</c:v>
                      </c:pt>
                      <c:pt idx="3">
                        <c:v>17/18</c:v>
                      </c:pt>
                      <c:pt idx="4">
                        <c:v>18/19</c:v>
                      </c:pt>
                    </c:strCache>
                  </c:strRef>
                </c:cat>
                <c:val>
                  <c:numRef>
                    <c:extLst xmlns:c15="http://schemas.microsoft.com/office/drawing/2012/chart">
                      <c:ext xmlns:c15="http://schemas.microsoft.com/office/drawing/2012/chart" uri="{02D57815-91ED-43cb-92C2-25804820EDAC}">
                        <c15:formulaRef>
                          <c15:sqref>Incomes!$B$3:$F$3</c15:sqref>
                        </c15:formulaRef>
                      </c:ext>
                    </c:extLst>
                    <c:numCache>
                      <c:formatCode>#,##0.00</c:formatCode>
                      <c:ptCount val="5"/>
                      <c:pt idx="0">
                        <c:v>28117.49</c:v>
                      </c:pt>
                      <c:pt idx="1">
                        <c:v>29596.68</c:v>
                      </c:pt>
                      <c:pt idx="2">
                        <c:v>25903.99</c:v>
                      </c:pt>
                      <c:pt idx="3">
                        <c:v>27600.14</c:v>
                      </c:pt>
                      <c:pt idx="4">
                        <c:v>47483</c:v>
                      </c:pt>
                    </c:numCache>
                  </c:numRef>
                </c:val>
                <c:extLst xmlns:c15="http://schemas.microsoft.com/office/drawing/2012/chart">
                  <c:ext xmlns:c16="http://schemas.microsoft.com/office/drawing/2014/chart" uri="{C3380CC4-5D6E-409C-BE32-E72D297353CC}">
                    <c16:uniqueId val="{00000006-5251-4411-BBC1-3DA5BB7841E8}"/>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Incomes!$A$4</c15:sqref>
                        </c15:formulaRef>
                      </c:ext>
                    </c:extLst>
                    <c:strCache>
                      <c:ptCount val="1"/>
                      <c:pt idx="0">
                        <c:v>Other Income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Abadi Extra Light" panose="020B0204020104020204" pitchFamily="34" charset="0"/>
                          <a:ea typeface="+mn-ea"/>
                          <a:cs typeface="+mn-cs"/>
                        </a:defRPr>
                      </a:pPr>
                      <a:endParaRPr lang="en-KE"/>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Incomes!$B$1:$F$1</c15:sqref>
                        </c15:formulaRef>
                      </c:ext>
                    </c:extLst>
                    <c:strCache>
                      <c:ptCount val="5"/>
                      <c:pt idx="0">
                        <c:v>14/15</c:v>
                      </c:pt>
                      <c:pt idx="1">
                        <c:v>15/16</c:v>
                      </c:pt>
                      <c:pt idx="2">
                        <c:v>16/17</c:v>
                      </c:pt>
                      <c:pt idx="3">
                        <c:v>17/18</c:v>
                      </c:pt>
                      <c:pt idx="4">
                        <c:v>18/19</c:v>
                      </c:pt>
                    </c:strCache>
                  </c:strRef>
                </c:cat>
                <c:val>
                  <c:numRef>
                    <c:extLst xmlns:c15="http://schemas.microsoft.com/office/drawing/2012/chart">
                      <c:ext xmlns:c15="http://schemas.microsoft.com/office/drawing/2012/chart" uri="{02D57815-91ED-43cb-92C2-25804820EDAC}">
                        <c15:formulaRef>
                          <c15:sqref>Incomes!$B$4:$F$4</c15:sqref>
                        </c15:formulaRef>
                      </c:ext>
                    </c:extLst>
                    <c:numCache>
                      <c:formatCode>#,##0.00</c:formatCode>
                      <c:ptCount val="5"/>
                      <c:pt idx="0">
                        <c:v>322475.25</c:v>
                      </c:pt>
                      <c:pt idx="1">
                        <c:v>294443.71000000002</c:v>
                      </c:pt>
                      <c:pt idx="2">
                        <c:v>303361.46000000002</c:v>
                      </c:pt>
                      <c:pt idx="3">
                        <c:v>370818.89</c:v>
                      </c:pt>
                      <c:pt idx="4">
                        <c:v>422110.39</c:v>
                      </c:pt>
                    </c:numCache>
                  </c:numRef>
                </c:val>
                <c:extLst xmlns:c15="http://schemas.microsoft.com/office/drawing/2012/chart">
                  <c:ext xmlns:c16="http://schemas.microsoft.com/office/drawing/2014/chart" uri="{C3380CC4-5D6E-409C-BE32-E72D297353CC}">
                    <c16:uniqueId val="{00000007-5251-4411-BBC1-3DA5BB7841E8}"/>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Incomes!$A$5</c15:sqref>
                        </c15:formulaRef>
                      </c:ext>
                    </c:extLst>
                    <c:strCache>
                      <c:ptCount val="1"/>
                      <c:pt idx="0">
                        <c:v>External Debt</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Abadi Extra Light" panose="020B0204020104020204" pitchFamily="34" charset="0"/>
                          <a:ea typeface="+mn-ea"/>
                          <a:cs typeface="+mn-cs"/>
                        </a:defRPr>
                      </a:pPr>
                      <a:endParaRPr lang="en-KE"/>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Incomes!$B$1:$F$1</c15:sqref>
                        </c15:formulaRef>
                      </c:ext>
                    </c:extLst>
                    <c:strCache>
                      <c:ptCount val="5"/>
                      <c:pt idx="0">
                        <c:v>14/15</c:v>
                      </c:pt>
                      <c:pt idx="1">
                        <c:v>15/16</c:v>
                      </c:pt>
                      <c:pt idx="2">
                        <c:v>16/17</c:v>
                      </c:pt>
                      <c:pt idx="3">
                        <c:v>17/18</c:v>
                      </c:pt>
                      <c:pt idx="4">
                        <c:v>18/19</c:v>
                      </c:pt>
                    </c:strCache>
                  </c:strRef>
                </c:cat>
                <c:val>
                  <c:numRef>
                    <c:extLst xmlns:c15="http://schemas.microsoft.com/office/drawing/2012/chart">
                      <c:ext xmlns:c15="http://schemas.microsoft.com/office/drawing/2012/chart" uri="{02D57815-91ED-43cb-92C2-25804820EDAC}">
                        <c15:formulaRef>
                          <c15:sqref>Incomes!$B$5:$F$5</c15:sqref>
                        </c15:formulaRef>
                      </c:ext>
                    </c:extLst>
                    <c:numCache>
                      <c:formatCode>#,##0.00</c:formatCode>
                      <c:ptCount val="5"/>
                      <c:pt idx="0">
                        <c:v>1423252.24</c:v>
                      </c:pt>
                      <c:pt idx="1">
                        <c:v>1796197.52</c:v>
                      </c:pt>
                      <c:pt idx="2">
                        <c:v>2294152.98</c:v>
                      </c:pt>
                      <c:pt idx="3">
                        <c:v>2568398.6800000002</c:v>
                      </c:pt>
                      <c:pt idx="4">
                        <c:v>3023139.47</c:v>
                      </c:pt>
                    </c:numCache>
                  </c:numRef>
                </c:val>
                <c:extLst xmlns:c15="http://schemas.microsoft.com/office/drawing/2012/chart">
                  <c:ext xmlns:c16="http://schemas.microsoft.com/office/drawing/2014/chart" uri="{C3380CC4-5D6E-409C-BE32-E72D297353CC}">
                    <c16:uniqueId val="{00000008-5251-4411-BBC1-3DA5BB7841E8}"/>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Incomes!$A$6</c15:sqref>
                        </c15:formulaRef>
                      </c:ext>
                    </c:extLst>
                    <c:strCache>
                      <c:ptCount val="1"/>
                      <c:pt idx="0">
                        <c:v>Domestic Debt</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Abadi Extra Light" panose="020B0204020104020204" pitchFamily="34" charset="0"/>
                          <a:ea typeface="+mn-ea"/>
                          <a:cs typeface="+mn-cs"/>
                        </a:defRPr>
                      </a:pPr>
                      <a:endParaRPr lang="en-KE"/>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Incomes!$B$1:$F$1</c15:sqref>
                        </c15:formulaRef>
                      </c:ext>
                    </c:extLst>
                    <c:strCache>
                      <c:ptCount val="5"/>
                      <c:pt idx="0">
                        <c:v>14/15</c:v>
                      </c:pt>
                      <c:pt idx="1">
                        <c:v>15/16</c:v>
                      </c:pt>
                      <c:pt idx="2">
                        <c:v>16/17</c:v>
                      </c:pt>
                      <c:pt idx="3">
                        <c:v>17/18</c:v>
                      </c:pt>
                      <c:pt idx="4">
                        <c:v>18/19</c:v>
                      </c:pt>
                    </c:strCache>
                  </c:strRef>
                </c:cat>
                <c:val>
                  <c:numRef>
                    <c:extLst xmlns:c15="http://schemas.microsoft.com/office/drawing/2012/chart">
                      <c:ext xmlns:c15="http://schemas.microsoft.com/office/drawing/2012/chart" uri="{02D57815-91ED-43cb-92C2-25804820EDAC}">
                        <c15:formulaRef>
                          <c15:sqref>Incomes!$B$6:$F$6</c15:sqref>
                        </c15:formulaRef>
                      </c:ext>
                    </c:extLst>
                    <c:numCache>
                      <c:formatCode>#,##0.00</c:formatCode>
                      <c:ptCount val="5"/>
                      <c:pt idx="0">
                        <c:v>1178179.8899999999</c:v>
                      </c:pt>
                      <c:pt idx="1">
                        <c:v>1407081.5</c:v>
                      </c:pt>
                      <c:pt idx="2">
                        <c:v>1677235.21</c:v>
                      </c:pt>
                      <c:pt idx="3">
                        <c:v>2478835</c:v>
                      </c:pt>
                      <c:pt idx="4">
                        <c:v>2785936</c:v>
                      </c:pt>
                    </c:numCache>
                  </c:numRef>
                </c:val>
                <c:extLst xmlns:c15="http://schemas.microsoft.com/office/drawing/2012/chart">
                  <c:ext xmlns:c16="http://schemas.microsoft.com/office/drawing/2014/chart" uri="{C3380CC4-5D6E-409C-BE32-E72D297353CC}">
                    <c16:uniqueId val="{00000009-5251-4411-BBC1-3DA5BB7841E8}"/>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Incomes!$A$7</c15:sqref>
                        </c15:formulaRef>
                      </c:ext>
                    </c:extLst>
                    <c:strCache>
                      <c:ptCount val="1"/>
                      <c:pt idx="0">
                        <c:v>Total Income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Abadi Extra Light" panose="020B0204020104020204" pitchFamily="34" charset="0"/>
                          <a:ea typeface="+mn-ea"/>
                          <a:cs typeface="+mn-cs"/>
                        </a:defRPr>
                      </a:pPr>
                      <a:endParaRPr lang="en-KE"/>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Incomes!$B$1:$F$1</c15:sqref>
                        </c15:formulaRef>
                      </c:ext>
                    </c:extLst>
                    <c:strCache>
                      <c:ptCount val="5"/>
                      <c:pt idx="0">
                        <c:v>14/15</c:v>
                      </c:pt>
                      <c:pt idx="1">
                        <c:v>15/16</c:v>
                      </c:pt>
                      <c:pt idx="2">
                        <c:v>16/17</c:v>
                      </c:pt>
                      <c:pt idx="3">
                        <c:v>17/18</c:v>
                      </c:pt>
                      <c:pt idx="4">
                        <c:v>18/19</c:v>
                      </c:pt>
                    </c:strCache>
                  </c:strRef>
                </c:cat>
                <c:val>
                  <c:numRef>
                    <c:extLst xmlns:c15="http://schemas.microsoft.com/office/drawing/2012/chart">
                      <c:ext xmlns:c15="http://schemas.microsoft.com/office/drawing/2012/chart" uri="{02D57815-91ED-43cb-92C2-25804820EDAC}">
                        <c15:formulaRef>
                          <c15:sqref>Incomes!$B$7:$F$7</c15:sqref>
                        </c15:formulaRef>
                      </c:ext>
                    </c:extLst>
                    <c:numCache>
                      <c:formatCode>#,##0.00</c:formatCode>
                      <c:ptCount val="5"/>
                      <c:pt idx="0">
                        <c:v>3973621.9</c:v>
                      </c:pt>
                      <c:pt idx="1">
                        <c:v>4674555.5</c:v>
                      </c:pt>
                      <c:pt idx="2">
                        <c:v>5587468.5299999993</c:v>
                      </c:pt>
                      <c:pt idx="3">
                        <c:v>6287048.3800000008</c:v>
                      </c:pt>
                      <c:pt idx="4">
                        <c:v>7329057.290000001</c:v>
                      </c:pt>
                    </c:numCache>
                  </c:numRef>
                </c:val>
                <c:extLst xmlns:c15="http://schemas.microsoft.com/office/drawing/2012/chart">
                  <c:ext xmlns:c16="http://schemas.microsoft.com/office/drawing/2014/chart" uri="{C3380CC4-5D6E-409C-BE32-E72D297353CC}">
                    <c16:uniqueId val="{0000000A-5251-4411-BBC1-3DA5BB7841E8}"/>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Incomes!$A$8</c15:sqref>
                        </c15:formulaRef>
                      </c:ext>
                    </c:extLst>
                    <c:strCache>
                      <c:ptCount val="1"/>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Abadi Extra Light" panose="020B0204020104020204" pitchFamily="34" charset="0"/>
                          <a:ea typeface="+mn-ea"/>
                          <a:cs typeface="+mn-cs"/>
                        </a:defRPr>
                      </a:pPr>
                      <a:endParaRPr lang="en-KE"/>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Incomes!$B$1:$F$1</c15:sqref>
                        </c15:formulaRef>
                      </c:ext>
                    </c:extLst>
                    <c:strCache>
                      <c:ptCount val="5"/>
                      <c:pt idx="0">
                        <c:v>14/15</c:v>
                      </c:pt>
                      <c:pt idx="1">
                        <c:v>15/16</c:v>
                      </c:pt>
                      <c:pt idx="2">
                        <c:v>16/17</c:v>
                      </c:pt>
                      <c:pt idx="3">
                        <c:v>17/18</c:v>
                      </c:pt>
                      <c:pt idx="4">
                        <c:v>18/19</c:v>
                      </c:pt>
                    </c:strCache>
                  </c:strRef>
                </c:cat>
                <c:val>
                  <c:numRef>
                    <c:extLst xmlns:c15="http://schemas.microsoft.com/office/drawing/2012/chart">
                      <c:ext xmlns:c15="http://schemas.microsoft.com/office/drawing/2012/chart" uri="{02D57815-91ED-43cb-92C2-25804820EDAC}">
                        <c15:formulaRef>
                          <c15:sqref>Incomes!$B$8:$F$8</c15:sqref>
                        </c15:formulaRef>
                      </c:ext>
                    </c:extLst>
                    <c:numCache>
                      <c:formatCode>General</c:formatCode>
                      <c:ptCount val="5"/>
                    </c:numCache>
                  </c:numRef>
                </c:val>
                <c:extLst xmlns:c15="http://schemas.microsoft.com/office/drawing/2012/chart">
                  <c:ext xmlns:c16="http://schemas.microsoft.com/office/drawing/2014/chart" uri="{C3380CC4-5D6E-409C-BE32-E72D297353CC}">
                    <c16:uniqueId val="{0000000B-5251-4411-BBC1-3DA5BB7841E8}"/>
                  </c:ext>
                </c:extLst>
              </c15:ser>
            </c15:filteredBarSeries>
            <c15:filteredBarSeries>
              <c15:ser>
                <c:idx val="12"/>
                <c:order val="12"/>
                <c:tx>
                  <c:strRef>
                    <c:extLst xmlns:c15="http://schemas.microsoft.com/office/drawing/2012/chart">
                      <c:ext xmlns:c15="http://schemas.microsoft.com/office/drawing/2012/chart" uri="{02D57815-91ED-43cb-92C2-25804820EDAC}">
                        <c15:formulaRef>
                          <c15:sqref>Incomes!$A$14</c15:sqref>
                        </c15:formulaRef>
                      </c:ext>
                    </c:extLst>
                    <c:strCache>
                      <c:ptCount val="1"/>
                      <c:pt idx="0">
                        <c:v>Total Income</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Abadi Extra Light" panose="020B0204020104020204" pitchFamily="34" charset="0"/>
                          <a:ea typeface="+mn-ea"/>
                          <a:cs typeface="+mn-cs"/>
                        </a:defRPr>
                      </a:pPr>
                      <a:endParaRPr lang="en-KE"/>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Incomes!$B$1:$F$1</c15:sqref>
                        </c15:formulaRef>
                      </c:ext>
                    </c:extLst>
                    <c:strCache>
                      <c:ptCount val="5"/>
                      <c:pt idx="0">
                        <c:v>14/15</c:v>
                      </c:pt>
                      <c:pt idx="1">
                        <c:v>15/16</c:v>
                      </c:pt>
                      <c:pt idx="2">
                        <c:v>16/17</c:v>
                      </c:pt>
                      <c:pt idx="3">
                        <c:v>17/18</c:v>
                      </c:pt>
                      <c:pt idx="4">
                        <c:v>18/19</c:v>
                      </c:pt>
                    </c:strCache>
                  </c:strRef>
                </c:cat>
                <c:val>
                  <c:numRef>
                    <c:extLst xmlns:c15="http://schemas.microsoft.com/office/drawing/2012/chart">
                      <c:ext xmlns:c15="http://schemas.microsoft.com/office/drawing/2012/chart" uri="{02D57815-91ED-43cb-92C2-25804820EDAC}">
                        <c15:formulaRef>
                          <c15:sqref>Incomes!$B$14:$F$14</c15:sqref>
                        </c15:formulaRef>
                      </c:ext>
                    </c:extLst>
                    <c:numCache>
                      <c:formatCode>General</c:formatCode>
                      <c:ptCount val="5"/>
                    </c:numCache>
                  </c:numRef>
                </c:val>
                <c:extLst xmlns:c15="http://schemas.microsoft.com/office/drawing/2012/chart">
                  <c:ext xmlns:c16="http://schemas.microsoft.com/office/drawing/2014/chart" uri="{C3380CC4-5D6E-409C-BE32-E72D297353CC}">
                    <c16:uniqueId val="{0000000C-5251-4411-BBC1-3DA5BB7841E8}"/>
                  </c:ext>
                </c:extLst>
              </c15:ser>
            </c15:filteredBarSeries>
          </c:ext>
        </c:extLst>
      </c:barChart>
      <c:catAx>
        <c:axId val="1180079151"/>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Abadi Extra Light" panose="020B0204020104020204" pitchFamily="34" charset="0"/>
                    <a:ea typeface="+mn-ea"/>
                    <a:cs typeface="+mn-cs"/>
                  </a:defRPr>
                </a:pPr>
                <a:r>
                  <a:rPr lang="en-US"/>
                  <a:t>Financial Year</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Abadi Extra Light" panose="020B0204020104020204" pitchFamily="34" charset="0"/>
                  <a:ea typeface="+mn-ea"/>
                  <a:cs typeface="+mn-cs"/>
                </a:defRPr>
              </a:pPr>
              <a:endParaRPr lang="en-K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Abadi Extra Light" panose="020B0204020104020204" pitchFamily="34" charset="0"/>
                <a:ea typeface="+mn-ea"/>
                <a:cs typeface="+mn-cs"/>
              </a:defRPr>
            </a:pPr>
            <a:endParaRPr lang="en-KE"/>
          </a:p>
        </c:txPr>
        <c:crossAx val="1092813071"/>
        <c:crosses val="autoZero"/>
        <c:auto val="1"/>
        <c:lblAlgn val="ctr"/>
        <c:lblOffset val="100"/>
        <c:noMultiLvlLbl val="0"/>
      </c:catAx>
      <c:valAx>
        <c:axId val="1092813071"/>
        <c:scaling>
          <c:orientation val="minMax"/>
        </c:scaling>
        <c:delete val="1"/>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Abadi Extra Light" panose="020B0204020104020204" pitchFamily="34" charset="0"/>
                    <a:ea typeface="+mn-ea"/>
                    <a:cs typeface="+mn-cs"/>
                  </a:defRPr>
                </a:pPr>
                <a:r>
                  <a:rPr lang="en-US"/>
                  <a:t>Percentage (%)</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Abadi Extra Light" panose="020B0204020104020204" pitchFamily="34" charset="0"/>
                  <a:ea typeface="+mn-ea"/>
                  <a:cs typeface="+mn-cs"/>
                </a:defRPr>
              </a:pPr>
              <a:endParaRPr lang="en-KE"/>
            </a:p>
          </c:txPr>
        </c:title>
        <c:numFmt formatCode="0%" sourceLinked="1"/>
        <c:majorTickMark val="none"/>
        <c:minorTickMark val="none"/>
        <c:tickLblPos val="nextTo"/>
        <c:crossAx val="1180079151"/>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badi Extra Light" panose="020B0204020104020204" pitchFamily="34" charset="0"/>
              <a:ea typeface="+mn-ea"/>
              <a:cs typeface="+mn-cs"/>
            </a:defRPr>
          </a:pPr>
          <a:endParaRPr lang="en-K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latin typeface="Abadi Extra Light" panose="020B0204020104020204" pitchFamily="34" charset="0"/>
        </a:defRPr>
      </a:pPr>
      <a:endParaRPr lang="en-KE"/>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rgbClr val="0070C0"/>
                </a:solidFill>
                <a:latin typeface="Franklin Gothic Demi" panose="020B0703020102020204" pitchFamily="34" charset="0"/>
                <a:ea typeface="+mn-ea"/>
                <a:cs typeface="+mn-cs"/>
              </a:defRPr>
            </a:pPr>
            <a:r>
              <a:rPr lang="en-US" sz="1200" b="0">
                <a:solidFill>
                  <a:srgbClr val="0070C0"/>
                </a:solidFill>
                <a:latin typeface="Franklin Gothic Demi" panose="020B0703020102020204" pitchFamily="34" charset="0"/>
              </a:rPr>
              <a:t>Tax Revenues in Kenya</a:t>
            </a:r>
          </a:p>
        </c:rich>
      </c:tx>
      <c:overlay val="0"/>
      <c:spPr>
        <a:noFill/>
        <a:ln>
          <a:noFill/>
        </a:ln>
        <a:effectLst/>
      </c:spPr>
      <c:txPr>
        <a:bodyPr rot="0" spcFirstLastPara="1" vertOverflow="ellipsis" vert="horz" wrap="square" anchor="ctr" anchorCtr="1"/>
        <a:lstStyle/>
        <a:p>
          <a:pPr>
            <a:defRPr sz="1200" b="0" i="0" u="none" strike="noStrike" kern="1200" spc="0" baseline="0">
              <a:solidFill>
                <a:srgbClr val="0070C0"/>
              </a:solidFill>
              <a:latin typeface="Franklin Gothic Demi" panose="020B0703020102020204" pitchFamily="34" charset="0"/>
              <a:ea typeface="+mn-ea"/>
              <a:cs typeface="+mn-cs"/>
            </a:defRPr>
          </a:pPr>
          <a:endParaRPr lang="en-KE"/>
        </a:p>
      </c:txPr>
    </c:title>
    <c:autoTitleDeleted val="0"/>
    <c:plotArea>
      <c:layout/>
      <c:areaChart>
        <c:grouping val="stacked"/>
        <c:varyColors val="0"/>
        <c:dLbls>
          <c:showLegendKey val="0"/>
          <c:showVal val="0"/>
          <c:showCatName val="0"/>
          <c:showSerName val="0"/>
          <c:showPercent val="0"/>
          <c:showBubbleSize val="0"/>
        </c:dLbls>
        <c:axId val="522829304"/>
        <c:axId val="522825144"/>
        <c:extLst>
          <c:ext xmlns:c15="http://schemas.microsoft.com/office/drawing/2012/chart" uri="{02D57815-91ED-43cb-92C2-25804820EDAC}">
            <c15:filteredAreaSeries>
              <c15:ser>
                <c:idx val="0"/>
                <c:order val="0"/>
                <c:tx>
                  <c:strRef>
                    <c:extLst>
                      <c:ext uri="{02D57815-91ED-43cb-92C2-25804820EDAC}">
                        <c15:formulaRef>
                          <c15:sqref>Sheet1!$A$2</c15:sqref>
                        </c15:formulaRef>
                      </c:ext>
                    </c:extLst>
                    <c:strCache>
                      <c:ptCount val="1"/>
                      <c:pt idx="0">
                        <c:v>GDP</c:v>
                      </c:pt>
                    </c:strCache>
                  </c:strRef>
                </c:tx>
                <c:spPr>
                  <a:solidFill>
                    <a:schemeClr val="accent1"/>
                  </a:solidFill>
                  <a:ln>
                    <a:noFill/>
                  </a:ln>
                  <a:effectLst/>
                </c:spPr>
                <c:cat>
                  <c:strRef>
                    <c:extLst>
                      <c:ext uri="{02D57815-91ED-43cb-92C2-25804820EDAC}">
                        <c15:formulaRef>
                          <c15:sqref>Sheet1!$B$1:$G$1</c15:sqref>
                        </c15:formulaRef>
                      </c:ext>
                    </c:extLst>
                    <c:strCache>
                      <c:ptCount val="5"/>
                      <c:pt idx="0">
                        <c:v>14/15</c:v>
                      </c:pt>
                      <c:pt idx="1">
                        <c:v>15/16</c:v>
                      </c:pt>
                      <c:pt idx="2">
                        <c:v>16/17</c:v>
                      </c:pt>
                      <c:pt idx="3">
                        <c:v>17/18</c:v>
                      </c:pt>
                      <c:pt idx="4">
                        <c:v>18/19</c:v>
                      </c:pt>
                    </c:strCache>
                  </c:strRef>
                </c:cat>
                <c:val>
                  <c:numRef>
                    <c:extLst>
                      <c:ext uri="{02D57815-91ED-43cb-92C2-25804820EDAC}">
                        <c15:formulaRef>
                          <c15:sqref>Sheet1!$B$2:$G$2</c15:sqref>
                        </c15:formulaRef>
                      </c:ext>
                    </c:extLst>
                    <c:numCache>
                      <c:formatCode>#,##0</c:formatCode>
                      <c:ptCount val="5"/>
                      <c:pt idx="0">
                        <c:v>6284185</c:v>
                      </c:pt>
                      <c:pt idx="1">
                        <c:v>7022963</c:v>
                      </c:pt>
                      <c:pt idx="2">
                        <c:v>8165842</c:v>
                      </c:pt>
                      <c:pt idx="3">
                        <c:v>8892111</c:v>
                      </c:pt>
                      <c:pt idx="4">
                        <c:v>9740360</c:v>
                      </c:pt>
                    </c:numCache>
                  </c:numRef>
                </c:val>
                <c:extLst>
                  <c:ext xmlns:c16="http://schemas.microsoft.com/office/drawing/2014/chart" uri="{C3380CC4-5D6E-409C-BE32-E72D297353CC}">
                    <c16:uniqueId val="{00000002-CB1F-4E81-B7E6-446EBDE6418F}"/>
                  </c:ext>
                </c:extLst>
              </c15:ser>
            </c15:filteredAreaSeries>
            <c15:filteredAreaSeries>
              <c15:ser>
                <c:idx val="1"/>
                <c:order val="1"/>
                <c:tx>
                  <c:strRef>
                    <c:extLst xmlns:c15="http://schemas.microsoft.com/office/drawing/2012/chart">
                      <c:ext xmlns:c15="http://schemas.microsoft.com/office/drawing/2012/chart" uri="{02D57815-91ED-43cb-92C2-25804820EDAC}">
                        <c15:formulaRef>
                          <c15:sqref>Sheet1!$A$3</c15:sqref>
                        </c15:formulaRef>
                      </c:ext>
                    </c:extLst>
                    <c:strCache>
                      <c:ptCount val="1"/>
                      <c:pt idx="0">
                        <c:v>Population</c:v>
                      </c:pt>
                    </c:strCache>
                  </c:strRef>
                </c:tx>
                <c:spPr>
                  <a:solidFill>
                    <a:schemeClr val="accent2"/>
                  </a:solidFill>
                  <a:ln>
                    <a:noFill/>
                  </a:ln>
                  <a:effectLst/>
                </c:spPr>
                <c:cat>
                  <c:strRef>
                    <c:extLst xmlns:c15="http://schemas.microsoft.com/office/drawing/2012/chart">
                      <c:ext xmlns:c15="http://schemas.microsoft.com/office/drawing/2012/chart" uri="{02D57815-91ED-43cb-92C2-25804820EDAC}">
                        <c15:formulaRef>
                          <c15:sqref>Sheet1!$B$1:$G$1</c15:sqref>
                        </c15:formulaRef>
                      </c:ext>
                    </c:extLst>
                    <c:strCache>
                      <c:ptCount val="5"/>
                      <c:pt idx="0">
                        <c:v>14/15</c:v>
                      </c:pt>
                      <c:pt idx="1">
                        <c:v>15/16</c:v>
                      </c:pt>
                      <c:pt idx="2">
                        <c:v>16/17</c:v>
                      </c:pt>
                      <c:pt idx="3">
                        <c:v>17/18</c:v>
                      </c:pt>
                      <c:pt idx="4">
                        <c:v>18/19</c:v>
                      </c:pt>
                    </c:strCache>
                  </c:strRef>
                </c:cat>
                <c:val>
                  <c:numRef>
                    <c:extLst xmlns:c15="http://schemas.microsoft.com/office/drawing/2012/chart">
                      <c:ext xmlns:c15="http://schemas.microsoft.com/office/drawing/2012/chart" uri="{02D57815-91ED-43cb-92C2-25804820EDAC}">
                        <c15:formulaRef>
                          <c15:sqref>Sheet1!$B$3:$G$3</c15:sqref>
                        </c15:formulaRef>
                      </c:ext>
                    </c:extLst>
                    <c:numCache>
                      <c:formatCode>_(* #,##0.00_);_(* \(#,##0.00\);_(* "-"??_);_(@_)</c:formatCode>
                      <c:ptCount val="5"/>
                      <c:pt idx="1">
                        <c:v>43300000</c:v>
                      </c:pt>
                      <c:pt idx="2">
                        <c:v>44300000</c:v>
                      </c:pt>
                      <c:pt idx="3">
                        <c:v>45400000</c:v>
                      </c:pt>
                      <c:pt idx="4">
                        <c:v>46500000</c:v>
                      </c:pt>
                    </c:numCache>
                  </c:numRef>
                </c:val>
                <c:extLst xmlns:c15="http://schemas.microsoft.com/office/drawing/2012/chart">
                  <c:ext xmlns:c16="http://schemas.microsoft.com/office/drawing/2014/chart" uri="{C3380CC4-5D6E-409C-BE32-E72D297353CC}">
                    <c16:uniqueId val="{00000003-CB1F-4E81-B7E6-446EBDE6418F}"/>
                  </c:ext>
                </c:extLst>
              </c15:ser>
            </c15:filteredAreaSeries>
            <c15:filteredAreaSeries>
              <c15:ser>
                <c:idx val="2"/>
                <c:order val="2"/>
                <c:tx>
                  <c:strRef>
                    <c:extLst xmlns:c15="http://schemas.microsoft.com/office/drawing/2012/chart">
                      <c:ext xmlns:c15="http://schemas.microsoft.com/office/drawing/2012/chart" uri="{02D57815-91ED-43cb-92C2-25804820EDAC}">
                        <c15:formulaRef>
                          <c15:sqref>Sheet1!$A$4</c15:sqref>
                        </c15:formulaRef>
                      </c:ext>
                    </c:extLst>
                    <c:strCache>
                      <c:ptCount val="1"/>
                      <c:pt idx="0">
                        <c:v>External Debt</c:v>
                      </c:pt>
                    </c:strCache>
                  </c:strRef>
                </c:tx>
                <c:spPr>
                  <a:solidFill>
                    <a:schemeClr val="accent3"/>
                  </a:solidFill>
                  <a:ln>
                    <a:noFill/>
                  </a:ln>
                  <a:effectLst/>
                </c:spPr>
                <c:cat>
                  <c:strRef>
                    <c:extLst xmlns:c15="http://schemas.microsoft.com/office/drawing/2012/chart">
                      <c:ext xmlns:c15="http://schemas.microsoft.com/office/drawing/2012/chart" uri="{02D57815-91ED-43cb-92C2-25804820EDAC}">
                        <c15:formulaRef>
                          <c15:sqref>Sheet1!$B$1:$G$1</c15:sqref>
                        </c15:formulaRef>
                      </c:ext>
                    </c:extLst>
                    <c:strCache>
                      <c:ptCount val="5"/>
                      <c:pt idx="0">
                        <c:v>14/15</c:v>
                      </c:pt>
                      <c:pt idx="1">
                        <c:v>15/16</c:v>
                      </c:pt>
                      <c:pt idx="2">
                        <c:v>16/17</c:v>
                      </c:pt>
                      <c:pt idx="3">
                        <c:v>17/18</c:v>
                      </c:pt>
                      <c:pt idx="4">
                        <c:v>18/19</c:v>
                      </c:pt>
                    </c:strCache>
                  </c:strRef>
                </c:cat>
                <c:val>
                  <c:numRef>
                    <c:extLst xmlns:c15="http://schemas.microsoft.com/office/drawing/2012/chart">
                      <c:ext xmlns:c15="http://schemas.microsoft.com/office/drawing/2012/chart" uri="{02D57815-91ED-43cb-92C2-25804820EDAC}">
                        <c15:formulaRef>
                          <c15:sqref>Sheet1!$B$4:$G$4</c15:sqref>
                        </c15:formulaRef>
                      </c:ext>
                    </c:extLst>
                    <c:numCache>
                      <c:formatCode>#,##0.00</c:formatCode>
                      <c:ptCount val="5"/>
                      <c:pt idx="0">
                        <c:v>1423252.24</c:v>
                      </c:pt>
                      <c:pt idx="1">
                        <c:v>1796197.52</c:v>
                      </c:pt>
                      <c:pt idx="2">
                        <c:v>2294152.98</c:v>
                      </c:pt>
                      <c:pt idx="3">
                        <c:v>2568398.6800000002</c:v>
                      </c:pt>
                      <c:pt idx="4">
                        <c:v>3023139.47</c:v>
                      </c:pt>
                    </c:numCache>
                  </c:numRef>
                </c:val>
                <c:extLst xmlns:c15="http://schemas.microsoft.com/office/drawing/2012/chart">
                  <c:ext xmlns:c16="http://schemas.microsoft.com/office/drawing/2014/chart" uri="{C3380CC4-5D6E-409C-BE32-E72D297353CC}">
                    <c16:uniqueId val="{00000004-CB1F-4E81-B7E6-446EBDE6418F}"/>
                  </c:ext>
                </c:extLst>
              </c15:ser>
            </c15:filteredAreaSeries>
          </c:ext>
        </c:extLst>
      </c:areaChart>
      <c:barChart>
        <c:barDir val="col"/>
        <c:grouping val="clustered"/>
        <c:varyColors val="0"/>
        <c:ser>
          <c:idx val="6"/>
          <c:order val="6"/>
          <c:tx>
            <c:strRef>
              <c:f>Sheet1!$A$8</c:f>
              <c:strCache>
                <c:ptCount val="1"/>
                <c:pt idx="0">
                  <c:v>Tax Revenue</c:v>
                </c:pt>
              </c:strCache>
            </c:strRef>
          </c:tx>
          <c:spPr>
            <a:solidFill>
              <a:srgbClr val="5B9BD5">
                <a:lumMod val="60000"/>
                <a:lumOff val="40000"/>
              </a:srgbClr>
            </a:solidFill>
            <a:ln>
              <a:noFill/>
            </a:ln>
            <a:effectLst/>
          </c:spPr>
          <c:invertIfNegative val="0"/>
          <c:cat>
            <c:strRef>
              <c:f>Sheet1!$B$1:$G$1</c:f>
              <c:strCache>
                <c:ptCount val="5"/>
                <c:pt idx="0">
                  <c:v>14/15</c:v>
                </c:pt>
                <c:pt idx="1">
                  <c:v>15/16</c:v>
                </c:pt>
                <c:pt idx="2">
                  <c:v>16/17</c:v>
                </c:pt>
                <c:pt idx="3">
                  <c:v>17/18</c:v>
                </c:pt>
                <c:pt idx="4">
                  <c:v>18/19</c:v>
                </c:pt>
              </c:strCache>
              <c:extLst/>
            </c:strRef>
          </c:cat>
          <c:val>
            <c:numRef>
              <c:f>Sheet1!$B$8:$G$8</c:f>
              <c:numCache>
                <c:formatCode>#,##0.00</c:formatCode>
                <c:ptCount val="5"/>
                <c:pt idx="0">
                  <c:v>1021597.03</c:v>
                </c:pt>
                <c:pt idx="1">
                  <c:v>1147236.0900000001</c:v>
                </c:pt>
                <c:pt idx="2">
                  <c:v>1286814.8899999999</c:v>
                </c:pt>
                <c:pt idx="3">
                  <c:v>1350988.58</c:v>
                </c:pt>
                <c:pt idx="4">
                  <c:v>1557817.34</c:v>
                </c:pt>
              </c:numCache>
              <c:extLst/>
            </c:numRef>
          </c:val>
          <c:extLst>
            <c:ext xmlns:c16="http://schemas.microsoft.com/office/drawing/2014/chart" uri="{C3380CC4-5D6E-409C-BE32-E72D297353CC}">
              <c16:uniqueId val="{00000000-CB1F-4E81-B7E6-446EBDE6418F}"/>
            </c:ext>
          </c:extLst>
        </c:ser>
        <c:dLbls>
          <c:showLegendKey val="0"/>
          <c:showVal val="0"/>
          <c:showCatName val="0"/>
          <c:showSerName val="0"/>
          <c:showPercent val="0"/>
          <c:showBubbleSize val="0"/>
        </c:dLbls>
        <c:gapWidth val="150"/>
        <c:axId val="522829304"/>
        <c:axId val="522825144"/>
        <c:extLst>
          <c:ext xmlns:c15="http://schemas.microsoft.com/office/drawing/2012/chart" uri="{02D57815-91ED-43cb-92C2-25804820EDAC}">
            <c15:filteredBarSeries>
              <c15:ser>
                <c:idx val="3"/>
                <c:order val="3"/>
                <c:tx>
                  <c:strRef>
                    <c:extLst>
                      <c:ext uri="{02D57815-91ED-43cb-92C2-25804820EDAC}">
                        <c15:formulaRef>
                          <c15:sqref>Sheet1!$A$5</c15:sqref>
                        </c15:formulaRef>
                      </c:ext>
                    </c:extLst>
                    <c:strCache>
                      <c:ptCount val="1"/>
                      <c:pt idx="0">
                        <c:v>Domestic Debt</c:v>
                      </c:pt>
                    </c:strCache>
                  </c:strRef>
                </c:tx>
                <c:spPr>
                  <a:solidFill>
                    <a:schemeClr val="accent4"/>
                  </a:solidFill>
                  <a:ln>
                    <a:noFill/>
                  </a:ln>
                  <a:effectLst/>
                </c:spPr>
                <c:invertIfNegative val="0"/>
                <c:cat>
                  <c:strRef>
                    <c:extLst>
                      <c:ext uri="{02D57815-91ED-43cb-92C2-25804820EDAC}">
                        <c15:formulaRef>
                          <c15:sqref>Sheet1!$B$1:$G$1</c15:sqref>
                        </c15:formulaRef>
                      </c:ext>
                    </c:extLst>
                    <c:strCache>
                      <c:ptCount val="5"/>
                      <c:pt idx="0">
                        <c:v>14/15</c:v>
                      </c:pt>
                      <c:pt idx="1">
                        <c:v>15/16</c:v>
                      </c:pt>
                      <c:pt idx="2">
                        <c:v>16/17</c:v>
                      </c:pt>
                      <c:pt idx="3">
                        <c:v>17/18</c:v>
                      </c:pt>
                      <c:pt idx="4">
                        <c:v>18/19</c:v>
                      </c:pt>
                    </c:strCache>
                  </c:strRef>
                </c:cat>
                <c:val>
                  <c:numRef>
                    <c:extLst>
                      <c:ext uri="{02D57815-91ED-43cb-92C2-25804820EDAC}">
                        <c15:formulaRef>
                          <c15:sqref>Sheet1!$B$5:$G$5</c15:sqref>
                        </c15:formulaRef>
                      </c:ext>
                    </c:extLst>
                    <c:numCache>
                      <c:formatCode>#,##0.00</c:formatCode>
                      <c:ptCount val="5"/>
                      <c:pt idx="0">
                        <c:v>1178179.8899999999</c:v>
                      </c:pt>
                      <c:pt idx="1">
                        <c:v>1407081.5</c:v>
                      </c:pt>
                      <c:pt idx="2">
                        <c:v>1677235.21</c:v>
                      </c:pt>
                      <c:pt idx="3">
                        <c:v>1969242.09</c:v>
                      </c:pt>
                      <c:pt idx="4">
                        <c:v>2278507.09</c:v>
                      </c:pt>
                    </c:numCache>
                  </c:numRef>
                </c:val>
                <c:extLst>
                  <c:ext xmlns:c16="http://schemas.microsoft.com/office/drawing/2014/chart" uri="{C3380CC4-5D6E-409C-BE32-E72D297353CC}">
                    <c16:uniqueId val="{00000005-CB1F-4E81-B7E6-446EBDE6418F}"/>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Sheet1!$A$6</c15:sqref>
                        </c15:formulaRef>
                      </c:ext>
                    </c:extLst>
                    <c:strCache>
                      <c:ptCount val="1"/>
                      <c:pt idx="0">
                        <c:v>Total Public Debt</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Sheet1!$B$1:$G$1</c15:sqref>
                        </c15:formulaRef>
                      </c:ext>
                    </c:extLst>
                    <c:strCache>
                      <c:ptCount val="5"/>
                      <c:pt idx="0">
                        <c:v>14/15</c:v>
                      </c:pt>
                      <c:pt idx="1">
                        <c:v>15/16</c:v>
                      </c:pt>
                      <c:pt idx="2">
                        <c:v>16/17</c:v>
                      </c:pt>
                      <c:pt idx="3">
                        <c:v>17/18</c:v>
                      </c:pt>
                      <c:pt idx="4">
                        <c:v>18/19</c:v>
                      </c:pt>
                    </c:strCache>
                  </c:strRef>
                </c:cat>
                <c:val>
                  <c:numRef>
                    <c:extLst xmlns:c15="http://schemas.microsoft.com/office/drawing/2012/chart">
                      <c:ext xmlns:c15="http://schemas.microsoft.com/office/drawing/2012/chart" uri="{02D57815-91ED-43cb-92C2-25804820EDAC}">
                        <c15:formulaRef>
                          <c15:sqref>Sheet1!$B$6:$G$6</c15:sqref>
                        </c15:formulaRef>
                      </c:ext>
                    </c:extLst>
                    <c:numCache>
                      <c:formatCode>#,##0.00</c:formatCode>
                      <c:ptCount val="5"/>
                      <c:pt idx="0">
                        <c:v>2601432.13</c:v>
                      </c:pt>
                      <c:pt idx="1">
                        <c:v>3203279.02</c:v>
                      </c:pt>
                      <c:pt idx="2">
                        <c:v>3971388.19</c:v>
                      </c:pt>
                      <c:pt idx="3">
                        <c:v>4537640.7700000005</c:v>
                      </c:pt>
                      <c:pt idx="4">
                        <c:v>5301646.5600000005</c:v>
                      </c:pt>
                    </c:numCache>
                  </c:numRef>
                </c:val>
                <c:extLst xmlns:c15="http://schemas.microsoft.com/office/drawing/2012/chart">
                  <c:ext xmlns:c16="http://schemas.microsoft.com/office/drawing/2014/chart" uri="{C3380CC4-5D6E-409C-BE32-E72D297353CC}">
                    <c16:uniqueId val="{00000006-CB1F-4E81-B7E6-446EBDE6418F}"/>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Sheet1!$A$7</c15:sqref>
                        </c15:formulaRef>
                      </c:ext>
                    </c:extLst>
                    <c:strCache>
                      <c:ptCount val="1"/>
                      <c:pt idx="0">
                        <c:v>TGE</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Sheet1!$B$1:$G$1</c15:sqref>
                        </c15:formulaRef>
                      </c:ext>
                    </c:extLst>
                    <c:strCache>
                      <c:ptCount val="5"/>
                      <c:pt idx="0">
                        <c:v>14/15</c:v>
                      </c:pt>
                      <c:pt idx="1">
                        <c:v>15/16</c:v>
                      </c:pt>
                      <c:pt idx="2">
                        <c:v>16/17</c:v>
                      </c:pt>
                      <c:pt idx="3">
                        <c:v>17/18</c:v>
                      </c:pt>
                      <c:pt idx="4">
                        <c:v>18/19</c:v>
                      </c:pt>
                    </c:strCache>
                  </c:strRef>
                </c:cat>
                <c:val>
                  <c:numRef>
                    <c:extLst xmlns:c15="http://schemas.microsoft.com/office/drawing/2012/chart">
                      <c:ext xmlns:c15="http://schemas.microsoft.com/office/drawing/2012/chart" uri="{02D57815-91ED-43cb-92C2-25804820EDAC}">
                        <c15:formulaRef>
                          <c15:sqref>Sheet1!$B$7:$G$7</c15:sqref>
                        </c15:formulaRef>
                      </c:ext>
                    </c:extLst>
                    <c:numCache>
                      <c:formatCode>#,##0.00</c:formatCode>
                      <c:ptCount val="5"/>
                      <c:pt idx="0">
                        <c:v>1591959.3</c:v>
                      </c:pt>
                      <c:pt idx="1">
                        <c:v>1816188</c:v>
                      </c:pt>
                      <c:pt idx="2">
                        <c:v>2018655.9</c:v>
                      </c:pt>
                      <c:pt idx="3">
                        <c:v>2223927.2000000002</c:v>
                      </c:pt>
                      <c:pt idx="4">
                        <c:v>2703710.9</c:v>
                      </c:pt>
                    </c:numCache>
                  </c:numRef>
                </c:val>
                <c:extLst xmlns:c15="http://schemas.microsoft.com/office/drawing/2012/chart">
                  <c:ext xmlns:c16="http://schemas.microsoft.com/office/drawing/2014/chart" uri="{C3380CC4-5D6E-409C-BE32-E72D297353CC}">
                    <c16:uniqueId val="{00000007-CB1F-4E81-B7E6-446EBDE6418F}"/>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Sheet1!$A$9</c15:sqref>
                        </c15:formulaRef>
                      </c:ext>
                    </c:extLst>
                    <c:strCache>
                      <c:ptCount val="1"/>
                      <c:pt idx="0">
                        <c:v>Grants</c:v>
                      </c:pt>
                    </c:strCache>
                  </c:strRef>
                </c:tx>
                <c:spPr>
                  <a:solidFill>
                    <a:schemeClr val="accent2">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Sheet1!$B$1:$G$1</c15:sqref>
                        </c15:formulaRef>
                      </c:ext>
                    </c:extLst>
                    <c:strCache>
                      <c:ptCount val="5"/>
                      <c:pt idx="0">
                        <c:v>14/15</c:v>
                      </c:pt>
                      <c:pt idx="1">
                        <c:v>15/16</c:v>
                      </c:pt>
                      <c:pt idx="2">
                        <c:v>16/17</c:v>
                      </c:pt>
                      <c:pt idx="3">
                        <c:v>17/18</c:v>
                      </c:pt>
                      <c:pt idx="4">
                        <c:v>18/19</c:v>
                      </c:pt>
                    </c:strCache>
                  </c:strRef>
                </c:cat>
                <c:val>
                  <c:numRef>
                    <c:extLst xmlns:c15="http://schemas.microsoft.com/office/drawing/2012/chart">
                      <c:ext xmlns:c15="http://schemas.microsoft.com/office/drawing/2012/chart" uri="{02D57815-91ED-43cb-92C2-25804820EDAC}">
                        <c15:formulaRef>
                          <c15:sqref>Sheet1!$B$9:$G$9</c15:sqref>
                        </c15:formulaRef>
                      </c:ext>
                    </c:extLst>
                    <c:numCache>
                      <c:formatCode>#,##0.00</c:formatCode>
                      <c:ptCount val="5"/>
                      <c:pt idx="0">
                        <c:v>28117.49</c:v>
                      </c:pt>
                      <c:pt idx="1">
                        <c:v>29596.68</c:v>
                      </c:pt>
                      <c:pt idx="2">
                        <c:v>25903.99</c:v>
                      </c:pt>
                      <c:pt idx="3">
                        <c:v>27600.14</c:v>
                      </c:pt>
                      <c:pt idx="4">
                        <c:v>47483</c:v>
                      </c:pt>
                    </c:numCache>
                  </c:numRef>
                </c:val>
                <c:extLst xmlns:c15="http://schemas.microsoft.com/office/drawing/2012/chart">
                  <c:ext xmlns:c16="http://schemas.microsoft.com/office/drawing/2014/chart" uri="{C3380CC4-5D6E-409C-BE32-E72D297353CC}">
                    <c16:uniqueId val="{00000008-CB1F-4E81-B7E6-446EBDE6418F}"/>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Sheet1!$A$10</c15:sqref>
                        </c15:formulaRef>
                      </c:ext>
                    </c:extLst>
                    <c:strCache>
                      <c:ptCount val="1"/>
                      <c:pt idx="0">
                        <c:v>Other Income</c:v>
                      </c:pt>
                    </c:strCache>
                  </c:strRef>
                </c:tx>
                <c:spPr>
                  <a:solidFill>
                    <a:schemeClr val="accent3">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Sheet1!$B$1:$G$1</c15:sqref>
                        </c15:formulaRef>
                      </c:ext>
                    </c:extLst>
                    <c:strCache>
                      <c:ptCount val="5"/>
                      <c:pt idx="0">
                        <c:v>14/15</c:v>
                      </c:pt>
                      <c:pt idx="1">
                        <c:v>15/16</c:v>
                      </c:pt>
                      <c:pt idx="2">
                        <c:v>16/17</c:v>
                      </c:pt>
                      <c:pt idx="3">
                        <c:v>17/18</c:v>
                      </c:pt>
                      <c:pt idx="4">
                        <c:v>18/19</c:v>
                      </c:pt>
                    </c:strCache>
                  </c:strRef>
                </c:cat>
                <c:val>
                  <c:numRef>
                    <c:extLst xmlns:c15="http://schemas.microsoft.com/office/drawing/2012/chart">
                      <c:ext xmlns:c15="http://schemas.microsoft.com/office/drawing/2012/chart" uri="{02D57815-91ED-43cb-92C2-25804820EDAC}">
                        <c15:formulaRef>
                          <c15:sqref>Sheet1!$B$10:$G$10</c15:sqref>
                        </c15:formulaRef>
                      </c:ext>
                    </c:extLst>
                    <c:numCache>
                      <c:formatCode>#,##0.00</c:formatCode>
                      <c:ptCount val="5"/>
                      <c:pt idx="0">
                        <c:v>322475.25</c:v>
                      </c:pt>
                      <c:pt idx="1">
                        <c:v>294443.71000000002</c:v>
                      </c:pt>
                      <c:pt idx="2">
                        <c:v>303361.46000000002</c:v>
                      </c:pt>
                      <c:pt idx="3">
                        <c:v>370818.89</c:v>
                      </c:pt>
                      <c:pt idx="4">
                        <c:v>422110.39</c:v>
                      </c:pt>
                    </c:numCache>
                  </c:numRef>
                </c:val>
                <c:extLst xmlns:c15="http://schemas.microsoft.com/office/drawing/2012/chart">
                  <c:ext xmlns:c16="http://schemas.microsoft.com/office/drawing/2014/chart" uri="{C3380CC4-5D6E-409C-BE32-E72D297353CC}">
                    <c16:uniqueId val="{00000009-CB1F-4E81-B7E6-446EBDE6418F}"/>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Sheet1!$A$11</c15:sqref>
                        </c15:formulaRef>
                      </c:ext>
                    </c:extLst>
                    <c:strCache>
                      <c:ptCount val="1"/>
                      <c:pt idx="0">
                        <c:v>Total Non-Debt Income</c:v>
                      </c:pt>
                    </c:strCache>
                  </c:strRef>
                </c:tx>
                <c:spPr>
                  <a:solidFill>
                    <a:schemeClr val="accent4">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Sheet1!$B$1:$G$1</c15:sqref>
                        </c15:formulaRef>
                      </c:ext>
                    </c:extLst>
                    <c:strCache>
                      <c:ptCount val="5"/>
                      <c:pt idx="0">
                        <c:v>14/15</c:v>
                      </c:pt>
                      <c:pt idx="1">
                        <c:v>15/16</c:v>
                      </c:pt>
                      <c:pt idx="2">
                        <c:v>16/17</c:v>
                      </c:pt>
                      <c:pt idx="3">
                        <c:v>17/18</c:v>
                      </c:pt>
                      <c:pt idx="4">
                        <c:v>18/19</c:v>
                      </c:pt>
                    </c:strCache>
                  </c:strRef>
                </c:cat>
                <c:val>
                  <c:numRef>
                    <c:extLst xmlns:c15="http://schemas.microsoft.com/office/drawing/2012/chart">
                      <c:ext xmlns:c15="http://schemas.microsoft.com/office/drawing/2012/chart" uri="{02D57815-91ED-43cb-92C2-25804820EDAC}">
                        <c15:formulaRef>
                          <c15:sqref>Sheet1!$B$11:$G$11</c15:sqref>
                        </c15:formulaRef>
                      </c:ext>
                    </c:extLst>
                    <c:numCache>
                      <c:formatCode>#,##0.00</c:formatCode>
                      <c:ptCount val="5"/>
                      <c:pt idx="0">
                        <c:v>1372189.77</c:v>
                      </c:pt>
                      <c:pt idx="1">
                        <c:v>1471276.48</c:v>
                      </c:pt>
                      <c:pt idx="2">
                        <c:v>1616080.3399999999</c:v>
                      </c:pt>
                      <c:pt idx="3">
                        <c:v>1749407.61</c:v>
                      </c:pt>
                      <c:pt idx="4">
                        <c:v>2027410.73</c:v>
                      </c:pt>
                    </c:numCache>
                  </c:numRef>
                </c:val>
                <c:extLst xmlns:c15="http://schemas.microsoft.com/office/drawing/2012/chart">
                  <c:ext xmlns:c16="http://schemas.microsoft.com/office/drawing/2014/chart" uri="{C3380CC4-5D6E-409C-BE32-E72D297353CC}">
                    <c16:uniqueId val="{0000000A-CB1F-4E81-B7E6-446EBDE6418F}"/>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Sheet1!$A$12</c15:sqref>
                        </c15:formulaRef>
                      </c:ext>
                    </c:extLst>
                    <c:strCache>
                      <c:ptCount val="1"/>
                      <c:pt idx="0">
                        <c:v>Deficit</c:v>
                      </c:pt>
                    </c:strCache>
                  </c:strRef>
                </c:tx>
                <c:spPr>
                  <a:solidFill>
                    <a:schemeClr val="accent5">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Sheet1!$B$1:$G$1</c15:sqref>
                        </c15:formulaRef>
                      </c:ext>
                    </c:extLst>
                    <c:strCache>
                      <c:ptCount val="5"/>
                      <c:pt idx="0">
                        <c:v>14/15</c:v>
                      </c:pt>
                      <c:pt idx="1">
                        <c:v>15/16</c:v>
                      </c:pt>
                      <c:pt idx="2">
                        <c:v>16/17</c:v>
                      </c:pt>
                      <c:pt idx="3">
                        <c:v>17/18</c:v>
                      </c:pt>
                      <c:pt idx="4">
                        <c:v>18/19</c:v>
                      </c:pt>
                    </c:strCache>
                  </c:strRef>
                </c:cat>
                <c:val>
                  <c:numRef>
                    <c:extLst xmlns:c15="http://schemas.microsoft.com/office/drawing/2012/chart">
                      <c:ext xmlns:c15="http://schemas.microsoft.com/office/drawing/2012/chart" uri="{02D57815-91ED-43cb-92C2-25804820EDAC}">
                        <c15:formulaRef>
                          <c15:sqref>Sheet1!$B$12:$G$12</c15:sqref>
                        </c15:formulaRef>
                      </c:ext>
                    </c:extLst>
                    <c:numCache>
                      <c:formatCode>#,##0.00</c:formatCode>
                      <c:ptCount val="5"/>
                      <c:pt idx="0">
                        <c:v>-219769.53000000003</c:v>
                      </c:pt>
                      <c:pt idx="1">
                        <c:v>-344911.52</c:v>
                      </c:pt>
                      <c:pt idx="2">
                        <c:v>-402575.56000000006</c:v>
                      </c:pt>
                      <c:pt idx="3">
                        <c:v>-474519.59000000008</c:v>
                      </c:pt>
                      <c:pt idx="4">
                        <c:v>-676300.16999999993</c:v>
                      </c:pt>
                    </c:numCache>
                  </c:numRef>
                </c:val>
                <c:extLst xmlns:c15="http://schemas.microsoft.com/office/drawing/2012/chart">
                  <c:ext xmlns:c16="http://schemas.microsoft.com/office/drawing/2014/chart" uri="{C3380CC4-5D6E-409C-BE32-E72D297353CC}">
                    <c16:uniqueId val="{0000000B-CB1F-4E81-B7E6-446EBDE6418F}"/>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Sheet1!$A$13</c15:sqref>
                        </c15:formulaRef>
                      </c:ext>
                    </c:extLst>
                    <c:strCache>
                      <c:ptCount val="1"/>
                      <c:pt idx="0">
                        <c:v>Deficit vs GDP</c:v>
                      </c:pt>
                    </c:strCache>
                  </c:strRef>
                </c:tx>
                <c:spPr>
                  <a:solidFill>
                    <a:schemeClr val="accent6">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Sheet1!$B$1:$G$1</c15:sqref>
                        </c15:formulaRef>
                      </c:ext>
                    </c:extLst>
                    <c:strCache>
                      <c:ptCount val="5"/>
                      <c:pt idx="0">
                        <c:v>14/15</c:v>
                      </c:pt>
                      <c:pt idx="1">
                        <c:v>15/16</c:v>
                      </c:pt>
                      <c:pt idx="2">
                        <c:v>16/17</c:v>
                      </c:pt>
                      <c:pt idx="3">
                        <c:v>17/18</c:v>
                      </c:pt>
                      <c:pt idx="4">
                        <c:v>18/19</c:v>
                      </c:pt>
                    </c:strCache>
                  </c:strRef>
                </c:cat>
                <c:val>
                  <c:numRef>
                    <c:extLst xmlns:c15="http://schemas.microsoft.com/office/drawing/2012/chart">
                      <c:ext xmlns:c15="http://schemas.microsoft.com/office/drawing/2012/chart" uri="{02D57815-91ED-43cb-92C2-25804820EDAC}">
                        <c15:formulaRef>
                          <c15:sqref>Sheet1!$B$13:$G$13</c15:sqref>
                        </c15:formulaRef>
                      </c:ext>
                    </c:extLst>
                    <c:numCache>
                      <c:formatCode>_-* #,##0.0_-;\-* #,##0.0_-;_-* "-"??_-;_-@_-</c:formatCode>
                      <c:ptCount val="5"/>
                      <c:pt idx="0">
                        <c:v>3.4971842808574225</c:v>
                      </c:pt>
                      <c:pt idx="1">
                        <c:v>4.9111965989284014</c:v>
                      </c:pt>
                      <c:pt idx="2">
                        <c:v>4.9299944818917645</c:v>
                      </c:pt>
                      <c:pt idx="3">
                        <c:v>5.3364110052157478</c:v>
                      </c:pt>
                      <c:pt idx="4">
                        <c:v>6.9432769425360048</c:v>
                      </c:pt>
                    </c:numCache>
                  </c:numRef>
                </c:val>
                <c:extLst xmlns:c15="http://schemas.microsoft.com/office/drawing/2012/chart">
                  <c:ext xmlns:c16="http://schemas.microsoft.com/office/drawing/2014/chart" uri="{C3380CC4-5D6E-409C-BE32-E72D297353CC}">
                    <c16:uniqueId val="{0000000C-CB1F-4E81-B7E6-446EBDE6418F}"/>
                  </c:ext>
                </c:extLst>
              </c15:ser>
            </c15:filteredBarSeries>
            <c15:filteredBarSeries>
              <c15:ser>
                <c:idx val="12"/>
                <c:order val="12"/>
                <c:tx>
                  <c:strRef>
                    <c:extLst xmlns:c15="http://schemas.microsoft.com/office/drawing/2012/chart">
                      <c:ext xmlns:c15="http://schemas.microsoft.com/office/drawing/2012/chart" uri="{02D57815-91ED-43cb-92C2-25804820EDAC}">
                        <c15:formulaRef>
                          <c15:sqref>Sheet1!$A$14</c15:sqref>
                        </c15:formulaRef>
                      </c:ext>
                    </c:extLst>
                    <c:strCache>
                      <c:ptCount val="1"/>
                      <c:pt idx="0">
                        <c:v>Debt: GDP</c:v>
                      </c:pt>
                    </c:strCache>
                  </c:strRef>
                </c:tx>
                <c:spPr>
                  <a:solidFill>
                    <a:schemeClr val="accent1">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Sheet1!$B$1:$G$1</c15:sqref>
                        </c15:formulaRef>
                      </c:ext>
                    </c:extLst>
                    <c:strCache>
                      <c:ptCount val="5"/>
                      <c:pt idx="0">
                        <c:v>14/15</c:v>
                      </c:pt>
                      <c:pt idx="1">
                        <c:v>15/16</c:v>
                      </c:pt>
                      <c:pt idx="2">
                        <c:v>16/17</c:v>
                      </c:pt>
                      <c:pt idx="3">
                        <c:v>17/18</c:v>
                      </c:pt>
                      <c:pt idx="4">
                        <c:v>18/19</c:v>
                      </c:pt>
                    </c:strCache>
                  </c:strRef>
                </c:cat>
                <c:val>
                  <c:numRef>
                    <c:extLst xmlns:c15="http://schemas.microsoft.com/office/drawing/2012/chart">
                      <c:ext xmlns:c15="http://schemas.microsoft.com/office/drawing/2012/chart" uri="{02D57815-91ED-43cb-92C2-25804820EDAC}">
                        <c15:formulaRef>
                          <c15:sqref>Sheet1!$B$14:$G$14</c15:sqref>
                        </c15:formulaRef>
                      </c:ext>
                    </c:extLst>
                    <c:numCache>
                      <c:formatCode>_-* #,##0.0_-;\-* #,##0.0_-;_-* "-"??_-;_-@_-</c:formatCode>
                      <c:ptCount val="5"/>
                      <c:pt idx="0">
                        <c:v>41.39649182829595</c:v>
                      </c:pt>
                      <c:pt idx="1">
                        <c:v>45.611503577621015</c:v>
                      </c:pt>
                      <c:pt idx="2">
                        <c:v>48.634154199897573</c:v>
                      </c:pt>
                      <c:pt idx="3">
                        <c:v>51.029960939533936</c:v>
                      </c:pt>
                      <c:pt idx="4">
                        <c:v>54.429677753183668</c:v>
                      </c:pt>
                    </c:numCache>
                  </c:numRef>
                </c:val>
                <c:extLst xmlns:c15="http://schemas.microsoft.com/office/drawing/2012/chart">
                  <c:ext xmlns:c16="http://schemas.microsoft.com/office/drawing/2014/chart" uri="{C3380CC4-5D6E-409C-BE32-E72D297353CC}">
                    <c16:uniqueId val="{0000000D-CB1F-4E81-B7E6-446EBDE6418F}"/>
                  </c:ext>
                </c:extLst>
              </c15:ser>
            </c15:filteredBarSeries>
          </c:ext>
        </c:extLst>
      </c:barChart>
      <c:lineChart>
        <c:grouping val="standard"/>
        <c:varyColors val="0"/>
        <c:ser>
          <c:idx val="13"/>
          <c:order val="13"/>
          <c:tx>
            <c:strRef>
              <c:f>Sheet1!$A$15</c:f>
              <c:strCache>
                <c:ptCount val="1"/>
                <c:pt idx="0">
                  <c:v>Tax Revenue: GDP Ratio (%)</c:v>
                </c:pt>
              </c:strCache>
            </c:strRef>
          </c:tx>
          <c:spPr>
            <a:ln w="28575" cap="rnd">
              <a:solidFill>
                <a:srgbClr val="FFC000"/>
              </a:solidFill>
              <a:round/>
            </a:ln>
            <a:effectLst/>
          </c:spPr>
          <c:marker>
            <c:symbol val="circle"/>
            <c:size val="5"/>
            <c:spPr>
              <a:solidFill>
                <a:schemeClr val="accent2">
                  <a:lumMod val="80000"/>
                  <a:lumOff val="20000"/>
                </a:schemeClr>
              </a:solidFill>
              <a:ln w="9525">
                <a:solidFill>
                  <a:srgbClr val="FFC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badi Extra Light" panose="020B0204020104020204" pitchFamily="34" charset="0"/>
                    <a:ea typeface="+mn-ea"/>
                    <a:cs typeface="+mn-cs"/>
                  </a:defRPr>
                </a:pPr>
                <a:endParaRPr lang="en-K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5"/>
                <c:pt idx="0">
                  <c:v>14/15</c:v>
                </c:pt>
                <c:pt idx="1">
                  <c:v>15/16</c:v>
                </c:pt>
                <c:pt idx="2">
                  <c:v>16/17</c:v>
                </c:pt>
                <c:pt idx="3">
                  <c:v>17/18</c:v>
                </c:pt>
                <c:pt idx="4">
                  <c:v>18/19</c:v>
                </c:pt>
              </c:strCache>
              <c:extLst/>
            </c:strRef>
          </c:cat>
          <c:val>
            <c:numRef>
              <c:f>Sheet1!$B$15:$G$15</c:f>
              <c:numCache>
                <c:formatCode>General</c:formatCode>
                <c:ptCount val="5"/>
                <c:pt idx="0">
                  <c:v>16.3</c:v>
                </c:pt>
                <c:pt idx="1">
                  <c:v>16.3</c:v>
                </c:pt>
                <c:pt idx="2">
                  <c:v>15.8</c:v>
                </c:pt>
                <c:pt idx="3">
                  <c:v>15.2</c:v>
                </c:pt>
                <c:pt idx="4">
                  <c:v>16</c:v>
                </c:pt>
              </c:numCache>
              <c:extLst/>
            </c:numRef>
          </c:val>
          <c:smooth val="0"/>
          <c:extLst>
            <c:ext xmlns:c16="http://schemas.microsoft.com/office/drawing/2014/chart" uri="{C3380CC4-5D6E-409C-BE32-E72D297353CC}">
              <c16:uniqueId val="{00000001-CB1F-4E81-B7E6-446EBDE6418F}"/>
            </c:ext>
          </c:extLst>
        </c:ser>
        <c:dLbls>
          <c:showLegendKey val="0"/>
          <c:showVal val="0"/>
          <c:showCatName val="0"/>
          <c:showSerName val="0"/>
          <c:showPercent val="0"/>
          <c:showBubbleSize val="0"/>
        </c:dLbls>
        <c:marker val="1"/>
        <c:smooth val="0"/>
        <c:axId val="417706808"/>
        <c:axId val="417703608"/>
      </c:lineChart>
      <c:catAx>
        <c:axId val="5228293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badi Extra Light" panose="020B0204020104020204" pitchFamily="34" charset="0"/>
                    <a:ea typeface="+mn-ea"/>
                    <a:cs typeface="+mn-cs"/>
                  </a:defRPr>
                </a:pPr>
                <a:r>
                  <a:rPr lang="en-US"/>
                  <a:t>Financial</a:t>
                </a:r>
                <a:r>
                  <a:rPr lang="en-US" baseline="0"/>
                  <a:t> Year</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badi Extra Light" panose="020B0204020104020204" pitchFamily="34" charset="0"/>
                  <a:ea typeface="+mn-ea"/>
                  <a:cs typeface="+mn-cs"/>
                </a:defRPr>
              </a:pPr>
              <a:endParaRPr lang="en-K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badi Extra Light" panose="020B0204020104020204" pitchFamily="34" charset="0"/>
                <a:ea typeface="+mn-ea"/>
                <a:cs typeface="+mn-cs"/>
              </a:defRPr>
            </a:pPr>
            <a:endParaRPr lang="en-KE"/>
          </a:p>
        </c:txPr>
        <c:crossAx val="522825144"/>
        <c:crosses val="autoZero"/>
        <c:auto val="1"/>
        <c:lblAlgn val="ctr"/>
        <c:lblOffset val="100"/>
        <c:noMultiLvlLbl val="0"/>
      </c:catAx>
      <c:valAx>
        <c:axId val="522825144"/>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badi Extra Light" panose="020B0204020104020204" pitchFamily="34" charset="0"/>
                    <a:ea typeface="+mn-ea"/>
                    <a:cs typeface="+mn-cs"/>
                  </a:defRPr>
                </a:pPr>
                <a:r>
                  <a:rPr lang="en-US"/>
                  <a:t>Ksh in Millions</a:t>
                </a:r>
              </a:p>
            </c:rich>
          </c:tx>
          <c:layout>
            <c:manualLayout>
              <c:xMode val="edge"/>
              <c:yMode val="edge"/>
              <c:x val="2.9417642288629395E-2"/>
              <c:y val="0.1960933868184390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badi Extra Light" panose="020B0204020104020204" pitchFamily="34" charset="0"/>
                  <a:ea typeface="+mn-ea"/>
                  <a:cs typeface="+mn-cs"/>
                </a:defRPr>
              </a:pPr>
              <a:endParaRPr lang="en-KE"/>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badi Extra Light" panose="020B0204020104020204" pitchFamily="34" charset="0"/>
                <a:ea typeface="+mn-ea"/>
                <a:cs typeface="+mn-cs"/>
              </a:defRPr>
            </a:pPr>
            <a:endParaRPr lang="en-KE"/>
          </a:p>
        </c:txPr>
        <c:crossAx val="522829304"/>
        <c:crosses val="autoZero"/>
        <c:crossBetween val="between"/>
      </c:valAx>
      <c:valAx>
        <c:axId val="417703608"/>
        <c:scaling>
          <c:orientation val="minMax"/>
          <c:min val="1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badi Extra Light" panose="020B0204020104020204" pitchFamily="34" charset="0"/>
                    <a:ea typeface="+mn-ea"/>
                    <a:cs typeface="+mn-cs"/>
                  </a:defRPr>
                </a:pPr>
                <a:r>
                  <a:rPr lang="en-US"/>
                  <a:t>Percentage</a:t>
                </a:r>
                <a:r>
                  <a:rPr lang="en-US" baseline="0"/>
                  <a:t> (%)</a:t>
                </a:r>
                <a:endParaRPr lang="en-US"/>
              </a:p>
            </c:rich>
          </c:tx>
          <c:layout>
            <c:manualLayout>
              <c:xMode val="edge"/>
              <c:yMode val="edge"/>
              <c:x val="0.93171084963499595"/>
              <c:y val="0.1960933868184390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badi Extra Light" panose="020B0204020104020204" pitchFamily="34" charset="0"/>
                  <a:ea typeface="+mn-ea"/>
                  <a:cs typeface="+mn-cs"/>
                </a:defRPr>
              </a:pPr>
              <a:endParaRPr lang="en-KE"/>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badi Extra Light" panose="020B0204020104020204" pitchFamily="34" charset="0"/>
                <a:ea typeface="+mn-ea"/>
                <a:cs typeface="+mn-cs"/>
              </a:defRPr>
            </a:pPr>
            <a:endParaRPr lang="en-KE"/>
          </a:p>
        </c:txPr>
        <c:crossAx val="417706808"/>
        <c:crosses val="max"/>
        <c:crossBetween val="between"/>
      </c:valAx>
      <c:catAx>
        <c:axId val="417706808"/>
        <c:scaling>
          <c:orientation val="minMax"/>
        </c:scaling>
        <c:delete val="1"/>
        <c:axPos val="b"/>
        <c:numFmt formatCode="General" sourceLinked="1"/>
        <c:majorTickMark val="out"/>
        <c:minorTickMark val="none"/>
        <c:tickLblPos val="nextTo"/>
        <c:crossAx val="41770360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badi Extra Light" panose="020B0204020104020204" pitchFamily="34" charset="0"/>
              <a:ea typeface="+mn-ea"/>
              <a:cs typeface="+mn-cs"/>
            </a:defRPr>
          </a:pPr>
          <a:endParaRPr lang="en-KE"/>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badi Extra Light" panose="020B0204020104020204" pitchFamily="34" charset="0"/>
        </a:defRPr>
      </a:pPr>
      <a:endParaRPr lang="en-KE"/>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0070C0"/>
                </a:solidFill>
                <a:latin typeface="Franklin Gothic Demi" panose="020B0703020102020204" pitchFamily="34" charset="0"/>
                <a:ea typeface="+mn-ea"/>
                <a:cs typeface="+mn-cs"/>
              </a:defRPr>
            </a:pPr>
            <a:r>
              <a:rPr lang="en-US">
                <a:solidFill>
                  <a:srgbClr val="0070C0"/>
                </a:solidFill>
                <a:latin typeface="Franklin Gothic Demi" panose="020B0703020102020204" pitchFamily="34" charset="0"/>
              </a:rPr>
              <a:t>Trends in the Fiscal Balance in Kenya</a:t>
            </a:r>
          </a:p>
        </c:rich>
      </c:tx>
      <c:overlay val="0"/>
      <c:spPr>
        <a:noFill/>
        <a:ln>
          <a:noFill/>
        </a:ln>
        <a:effectLst/>
      </c:spPr>
      <c:txPr>
        <a:bodyPr rot="0" spcFirstLastPara="1" vertOverflow="ellipsis" vert="horz" wrap="square" anchor="ctr" anchorCtr="1"/>
        <a:lstStyle/>
        <a:p>
          <a:pPr>
            <a:defRPr sz="1400" b="0" i="0" u="none" strike="noStrike" kern="1200" spc="0" baseline="0">
              <a:solidFill>
                <a:srgbClr val="0070C0"/>
              </a:solidFill>
              <a:latin typeface="Franklin Gothic Demi" panose="020B0703020102020204" pitchFamily="34" charset="0"/>
              <a:ea typeface="+mn-ea"/>
              <a:cs typeface="+mn-cs"/>
            </a:defRPr>
          </a:pPr>
          <a:endParaRPr lang="en-KE"/>
        </a:p>
      </c:txPr>
    </c:title>
    <c:autoTitleDeleted val="0"/>
    <c:plotArea>
      <c:layout/>
      <c:areaChart>
        <c:grouping val="stacked"/>
        <c:varyColors val="0"/>
        <c:dLbls>
          <c:showLegendKey val="0"/>
          <c:showVal val="0"/>
          <c:showCatName val="0"/>
          <c:showSerName val="0"/>
          <c:showPercent val="0"/>
          <c:showBubbleSize val="0"/>
        </c:dLbls>
        <c:axId val="518303952"/>
        <c:axId val="518304272"/>
        <c:extLst>
          <c:ext xmlns:c15="http://schemas.microsoft.com/office/drawing/2012/chart" uri="{02D57815-91ED-43cb-92C2-25804820EDAC}">
            <c15:filteredAreaSeries>
              <c15:ser>
                <c:idx val="0"/>
                <c:order val="0"/>
                <c:tx>
                  <c:strRef>
                    <c:extLst>
                      <c:ext uri="{02D57815-91ED-43cb-92C2-25804820EDAC}">
                        <c15:formulaRef>
                          <c15:sqref>Sheet1!$A$2</c15:sqref>
                        </c15:formulaRef>
                      </c:ext>
                    </c:extLst>
                    <c:strCache>
                      <c:ptCount val="1"/>
                      <c:pt idx="0">
                        <c:v>GDP</c:v>
                      </c:pt>
                    </c:strCache>
                  </c:strRef>
                </c:tx>
                <c:spPr>
                  <a:solidFill>
                    <a:schemeClr val="accent1"/>
                  </a:solidFill>
                  <a:ln>
                    <a:noFill/>
                  </a:ln>
                  <a:effectLst/>
                </c:spPr>
                <c:cat>
                  <c:strRef>
                    <c:extLst>
                      <c:ext uri="{02D57815-91ED-43cb-92C2-25804820EDAC}">
                        <c15:formulaRef>
                          <c15:sqref>Sheet1!$B$1:$G$1</c15:sqref>
                        </c15:formulaRef>
                      </c:ext>
                    </c:extLst>
                    <c:strCache>
                      <c:ptCount val="5"/>
                      <c:pt idx="0">
                        <c:v>14/15</c:v>
                      </c:pt>
                      <c:pt idx="1">
                        <c:v>15/16</c:v>
                      </c:pt>
                      <c:pt idx="2">
                        <c:v>16/17</c:v>
                      </c:pt>
                      <c:pt idx="3">
                        <c:v>17/18</c:v>
                      </c:pt>
                      <c:pt idx="4">
                        <c:v>18/19</c:v>
                      </c:pt>
                    </c:strCache>
                  </c:strRef>
                </c:cat>
                <c:val>
                  <c:numRef>
                    <c:extLst>
                      <c:ext uri="{02D57815-91ED-43cb-92C2-25804820EDAC}">
                        <c15:formulaRef>
                          <c15:sqref>Sheet1!$B$2:$G$2</c15:sqref>
                        </c15:formulaRef>
                      </c:ext>
                    </c:extLst>
                    <c:numCache>
                      <c:formatCode>#,##0</c:formatCode>
                      <c:ptCount val="5"/>
                      <c:pt idx="0">
                        <c:v>6284185</c:v>
                      </c:pt>
                      <c:pt idx="1">
                        <c:v>7022963</c:v>
                      </c:pt>
                      <c:pt idx="2">
                        <c:v>8165842</c:v>
                      </c:pt>
                      <c:pt idx="3">
                        <c:v>8892111</c:v>
                      </c:pt>
                      <c:pt idx="4">
                        <c:v>9740360</c:v>
                      </c:pt>
                    </c:numCache>
                  </c:numRef>
                </c:val>
                <c:extLst>
                  <c:ext xmlns:c16="http://schemas.microsoft.com/office/drawing/2014/chart" uri="{C3380CC4-5D6E-409C-BE32-E72D297353CC}">
                    <c16:uniqueId val="{00000004-9F3D-40A3-A4EC-B812407AF663}"/>
                  </c:ext>
                </c:extLst>
              </c15:ser>
            </c15:filteredAreaSeries>
            <c15:filteredAreaSeries>
              <c15:ser>
                <c:idx val="1"/>
                <c:order val="1"/>
                <c:tx>
                  <c:strRef>
                    <c:extLst xmlns:c15="http://schemas.microsoft.com/office/drawing/2012/chart">
                      <c:ext xmlns:c15="http://schemas.microsoft.com/office/drawing/2012/chart" uri="{02D57815-91ED-43cb-92C2-25804820EDAC}">
                        <c15:formulaRef>
                          <c15:sqref>Sheet1!$A$3</c15:sqref>
                        </c15:formulaRef>
                      </c:ext>
                    </c:extLst>
                    <c:strCache>
                      <c:ptCount val="1"/>
                      <c:pt idx="0">
                        <c:v>Population</c:v>
                      </c:pt>
                    </c:strCache>
                  </c:strRef>
                </c:tx>
                <c:spPr>
                  <a:solidFill>
                    <a:schemeClr val="accent2"/>
                  </a:solidFill>
                  <a:ln>
                    <a:noFill/>
                  </a:ln>
                  <a:effectLst/>
                </c:spPr>
                <c:cat>
                  <c:strRef>
                    <c:extLst xmlns:c15="http://schemas.microsoft.com/office/drawing/2012/chart">
                      <c:ext xmlns:c15="http://schemas.microsoft.com/office/drawing/2012/chart" uri="{02D57815-91ED-43cb-92C2-25804820EDAC}">
                        <c15:formulaRef>
                          <c15:sqref>Sheet1!$B$1:$G$1</c15:sqref>
                        </c15:formulaRef>
                      </c:ext>
                    </c:extLst>
                    <c:strCache>
                      <c:ptCount val="5"/>
                      <c:pt idx="0">
                        <c:v>14/15</c:v>
                      </c:pt>
                      <c:pt idx="1">
                        <c:v>15/16</c:v>
                      </c:pt>
                      <c:pt idx="2">
                        <c:v>16/17</c:v>
                      </c:pt>
                      <c:pt idx="3">
                        <c:v>17/18</c:v>
                      </c:pt>
                      <c:pt idx="4">
                        <c:v>18/19</c:v>
                      </c:pt>
                    </c:strCache>
                  </c:strRef>
                </c:cat>
                <c:val>
                  <c:numRef>
                    <c:extLst xmlns:c15="http://schemas.microsoft.com/office/drawing/2012/chart">
                      <c:ext xmlns:c15="http://schemas.microsoft.com/office/drawing/2012/chart" uri="{02D57815-91ED-43cb-92C2-25804820EDAC}">
                        <c15:formulaRef>
                          <c15:sqref>Sheet1!$B$3:$G$3</c15:sqref>
                        </c15:formulaRef>
                      </c:ext>
                    </c:extLst>
                    <c:numCache>
                      <c:formatCode>_(* #,##0.00_);_(* \(#,##0.00\);_(* "-"??_);_(@_)</c:formatCode>
                      <c:ptCount val="5"/>
                      <c:pt idx="1">
                        <c:v>43300000</c:v>
                      </c:pt>
                      <c:pt idx="2">
                        <c:v>44300000</c:v>
                      </c:pt>
                      <c:pt idx="3">
                        <c:v>45400000</c:v>
                      </c:pt>
                      <c:pt idx="4">
                        <c:v>46500000</c:v>
                      </c:pt>
                    </c:numCache>
                  </c:numRef>
                </c:val>
                <c:extLst xmlns:c15="http://schemas.microsoft.com/office/drawing/2012/chart">
                  <c:ext xmlns:c16="http://schemas.microsoft.com/office/drawing/2014/chart" uri="{C3380CC4-5D6E-409C-BE32-E72D297353CC}">
                    <c16:uniqueId val="{00000005-9F3D-40A3-A4EC-B812407AF663}"/>
                  </c:ext>
                </c:extLst>
              </c15:ser>
            </c15:filteredAreaSeries>
            <c15:filteredAreaSeries>
              <c15:ser>
                <c:idx val="2"/>
                <c:order val="2"/>
                <c:tx>
                  <c:strRef>
                    <c:extLst xmlns:c15="http://schemas.microsoft.com/office/drawing/2012/chart">
                      <c:ext xmlns:c15="http://schemas.microsoft.com/office/drawing/2012/chart" uri="{02D57815-91ED-43cb-92C2-25804820EDAC}">
                        <c15:formulaRef>
                          <c15:sqref>Sheet1!$A$4</c15:sqref>
                        </c15:formulaRef>
                      </c:ext>
                    </c:extLst>
                    <c:strCache>
                      <c:ptCount val="1"/>
                      <c:pt idx="0">
                        <c:v>External Debt</c:v>
                      </c:pt>
                    </c:strCache>
                  </c:strRef>
                </c:tx>
                <c:spPr>
                  <a:solidFill>
                    <a:schemeClr val="accent3"/>
                  </a:solidFill>
                  <a:ln>
                    <a:noFill/>
                  </a:ln>
                  <a:effectLst/>
                </c:spPr>
                <c:cat>
                  <c:strRef>
                    <c:extLst xmlns:c15="http://schemas.microsoft.com/office/drawing/2012/chart">
                      <c:ext xmlns:c15="http://schemas.microsoft.com/office/drawing/2012/chart" uri="{02D57815-91ED-43cb-92C2-25804820EDAC}">
                        <c15:formulaRef>
                          <c15:sqref>Sheet1!$B$1:$G$1</c15:sqref>
                        </c15:formulaRef>
                      </c:ext>
                    </c:extLst>
                    <c:strCache>
                      <c:ptCount val="5"/>
                      <c:pt idx="0">
                        <c:v>14/15</c:v>
                      </c:pt>
                      <c:pt idx="1">
                        <c:v>15/16</c:v>
                      </c:pt>
                      <c:pt idx="2">
                        <c:v>16/17</c:v>
                      </c:pt>
                      <c:pt idx="3">
                        <c:v>17/18</c:v>
                      </c:pt>
                      <c:pt idx="4">
                        <c:v>18/19</c:v>
                      </c:pt>
                    </c:strCache>
                  </c:strRef>
                </c:cat>
                <c:val>
                  <c:numRef>
                    <c:extLst xmlns:c15="http://schemas.microsoft.com/office/drawing/2012/chart">
                      <c:ext xmlns:c15="http://schemas.microsoft.com/office/drawing/2012/chart" uri="{02D57815-91ED-43cb-92C2-25804820EDAC}">
                        <c15:formulaRef>
                          <c15:sqref>Sheet1!$B$4:$G$4</c15:sqref>
                        </c15:formulaRef>
                      </c:ext>
                    </c:extLst>
                    <c:numCache>
                      <c:formatCode>#,##0.00</c:formatCode>
                      <c:ptCount val="5"/>
                      <c:pt idx="0">
                        <c:v>1423252.24</c:v>
                      </c:pt>
                      <c:pt idx="1">
                        <c:v>1796197.52</c:v>
                      </c:pt>
                      <c:pt idx="2">
                        <c:v>2294152.98</c:v>
                      </c:pt>
                      <c:pt idx="3">
                        <c:v>2568398.6800000002</c:v>
                      </c:pt>
                      <c:pt idx="4">
                        <c:v>3023139.47</c:v>
                      </c:pt>
                    </c:numCache>
                  </c:numRef>
                </c:val>
                <c:extLst xmlns:c15="http://schemas.microsoft.com/office/drawing/2012/chart">
                  <c:ext xmlns:c16="http://schemas.microsoft.com/office/drawing/2014/chart" uri="{C3380CC4-5D6E-409C-BE32-E72D297353CC}">
                    <c16:uniqueId val="{00000006-9F3D-40A3-A4EC-B812407AF663}"/>
                  </c:ext>
                </c:extLst>
              </c15:ser>
            </c15:filteredAreaSeries>
          </c:ext>
        </c:extLst>
      </c:areaChart>
      <c:barChart>
        <c:barDir val="col"/>
        <c:grouping val="clustered"/>
        <c:varyColors val="0"/>
        <c:ser>
          <c:idx val="5"/>
          <c:order val="5"/>
          <c:tx>
            <c:strRef>
              <c:f>Sheet1!$A$7</c:f>
              <c:strCache>
                <c:ptCount val="1"/>
                <c:pt idx="0">
                  <c:v>TGE</c:v>
                </c:pt>
              </c:strCache>
            </c:strRef>
          </c:tx>
          <c:spPr>
            <a:solidFill>
              <a:schemeClr val="accent5">
                <a:lumMod val="75000"/>
              </a:schemeClr>
            </a:solidFill>
            <a:ln>
              <a:noFill/>
            </a:ln>
            <a:effectLst/>
          </c:spPr>
          <c:invertIfNegative val="0"/>
          <c:cat>
            <c:strRef>
              <c:f>Sheet1!$B$1:$G$1</c:f>
              <c:strCache>
                <c:ptCount val="5"/>
                <c:pt idx="0">
                  <c:v>14/15</c:v>
                </c:pt>
                <c:pt idx="1">
                  <c:v>15/16</c:v>
                </c:pt>
                <c:pt idx="2">
                  <c:v>16/17</c:v>
                </c:pt>
                <c:pt idx="3">
                  <c:v>17/18</c:v>
                </c:pt>
                <c:pt idx="4">
                  <c:v>18/19</c:v>
                </c:pt>
              </c:strCache>
              <c:extLst/>
            </c:strRef>
          </c:cat>
          <c:val>
            <c:numRef>
              <c:f>Sheet1!$B$7:$G$7</c:f>
              <c:numCache>
                <c:formatCode>#,##0.00</c:formatCode>
                <c:ptCount val="5"/>
                <c:pt idx="0">
                  <c:v>1591959.3</c:v>
                </c:pt>
                <c:pt idx="1">
                  <c:v>1816188</c:v>
                </c:pt>
                <c:pt idx="2">
                  <c:v>2018655.9</c:v>
                </c:pt>
                <c:pt idx="3">
                  <c:v>2223927.2000000002</c:v>
                </c:pt>
                <c:pt idx="4">
                  <c:v>2703710.9</c:v>
                </c:pt>
              </c:numCache>
              <c:extLst/>
            </c:numRef>
          </c:val>
          <c:extLst>
            <c:ext xmlns:c16="http://schemas.microsoft.com/office/drawing/2014/chart" uri="{C3380CC4-5D6E-409C-BE32-E72D297353CC}">
              <c16:uniqueId val="{00000000-9F3D-40A3-A4EC-B812407AF663}"/>
            </c:ext>
          </c:extLst>
        </c:ser>
        <c:ser>
          <c:idx val="9"/>
          <c:order val="9"/>
          <c:tx>
            <c:strRef>
              <c:f>Sheet1!$A$11</c:f>
              <c:strCache>
                <c:ptCount val="1"/>
                <c:pt idx="0">
                  <c:v>Total Non-Debt Income</c:v>
                </c:pt>
              </c:strCache>
            </c:strRef>
          </c:tx>
          <c:spPr>
            <a:solidFill>
              <a:schemeClr val="accent5">
                <a:lumMod val="40000"/>
                <a:lumOff val="60000"/>
              </a:schemeClr>
            </a:solidFill>
            <a:ln>
              <a:noFill/>
            </a:ln>
            <a:effectLst/>
          </c:spPr>
          <c:invertIfNegative val="0"/>
          <c:cat>
            <c:strRef>
              <c:f>Sheet1!$B$1:$G$1</c:f>
              <c:strCache>
                <c:ptCount val="5"/>
                <c:pt idx="0">
                  <c:v>14/15</c:v>
                </c:pt>
                <c:pt idx="1">
                  <c:v>15/16</c:v>
                </c:pt>
                <c:pt idx="2">
                  <c:v>16/17</c:v>
                </c:pt>
                <c:pt idx="3">
                  <c:v>17/18</c:v>
                </c:pt>
                <c:pt idx="4">
                  <c:v>18/19</c:v>
                </c:pt>
              </c:strCache>
              <c:extLst/>
            </c:strRef>
          </c:cat>
          <c:val>
            <c:numRef>
              <c:f>Sheet1!$B$11:$G$11</c:f>
              <c:numCache>
                <c:formatCode>#,##0.00</c:formatCode>
                <c:ptCount val="5"/>
                <c:pt idx="0">
                  <c:v>1372189.77</c:v>
                </c:pt>
                <c:pt idx="1">
                  <c:v>1471276.48</c:v>
                </c:pt>
                <c:pt idx="2">
                  <c:v>1616080.3399999999</c:v>
                </c:pt>
                <c:pt idx="3">
                  <c:v>1749407.61</c:v>
                </c:pt>
                <c:pt idx="4">
                  <c:v>2027410.73</c:v>
                </c:pt>
              </c:numCache>
              <c:extLst/>
            </c:numRef>
          </c:val>
          <c:extLst>
            <c:ext xmlns:c16="http://schemas.microsoft.com/office/drawing/2014/chart" uri="{C3380CC4-5D6E-409C-BE32-E72D297353CC}">
              <c16:uniqueId val="{00000001-9F3D-40A3-A4EC-B812407AF663}"/>
            </c:ext>
          </c:extLst>
        </c:ser>
        <c:ser>
          <c:idx val="10"/>
          <c:order val="10"/>
          <c:tx>
            <c:strRef>
              <c:f>Sheet1!$A$12</c:f>
              <c:strCache>
                <c:ptCount val="1"/>
                <c:pt idx="0">
                  <c:v>Deficit</c:v>
                </c:pt>
              </c:strCache>
            </c:strRef>
          </c:tx>
          <c:spPr>
            <a:solidFill>
              <a:schemeClr val="bg1">
                <a:lumMod val="65000"/>
              </a:schemeClr>
            </a:solidFill>
            <a:ln>
              <a:noFill/>
            </a:ln>
            <a:effectLst/>
          </c:spPr>
          <c:invertIfNegative val="0"/>
          <c:cat>
            <c:strRef>
              <c:f>Sheet1!$B$1:$G$1</c:f>
              <c:strCache>
                <c:ptCount val="5"/>
                <c:pt idx="0">
                  <c:v>14/15</c:v>
                </c:pt>
                <c:pt idx="1">
                  <c:v>15/16</c:v>
                </c:pt>
                <c:pt idx="2">
                  <c:v>16/17</c:v>
                </c:pt>
                <c:pt idx="3">
                  <c:v>17/18</c:v>
                </c:pt>
                <c:pt idx="4">
                  <c:v>18/19</c:v>
                </c:pt>
              </c:strCache>
              <c:extLst/>
            </c:strRef>
          </c:cat>
          <c:val>
            <c:numRef>
              <c:f>Sheet1!$B$12:$G$12</c:f>
              <c:numCache>
                <c:formatCode>#,##0.00</c:formatCode>
                <c:ptCount val="5"/>
                <c:pt idx="0">
                  <c:v>-219769.53000000003</c:v>
                </c:pt>
                <c:pt idx="1">
                  <c:v>-344911.52</c:v>
                </c:pt>
                <c:pt idx="2">
                  <c:v>-402575.56000000006</c:v>
                </c:pt>
                <c:pt idx="3">
                  <c:v>-474519.59000000008</c:v>
                </c:pt>
                <c:pt idx="4">
                  <c:v>-676300.16999999993</c:v>
                </c:pt>
              </c:numCache>
              <c:extLst/>
            </c:numRef>
          </c:val>
          <c:extLst>
            <c:ext xmlns:c16="http://schemas.microsoft.com/office/drawing/2014/chart" uri="{C3380CC4-5D6E-409C-BE32-E72D297353CC}">
              <c16:uniqueId val="{00000002-9F3D-40A3-A4EC-B812407AF663}"/>
            </c:ext>
          </c:extLst>
        </c:ser>
        <c:dLbls>
          <c:showLegendKey val="0"/>
          <c:showVal val="0"/>
          <c:showCatName val="0"/>
          <c:showSerName val="0"/>
          <c:showPercent val="0"/>
          <c:showBubbleSize val="0"/>
        </c:dLbls>
        <c:gapWidth val="150"/>
        <c:axId val="518303952"/>
        <c:axId val="518304272"/>
        <c:extLst>
          <c:ext xmlns:c15="http://schemas.microsoft.com/office/drawing/2012/chart" uri="{02D57815-91ED-43cb-92C2-25804820EDAC}">
            <c15:filteredBarSeries>
              <c15:ser>
                <c:idx val="3"/>
                <c:order val="3"/>
                <c:tx>
                  <c:strRef>
                    <c:extLst>
                      <c:ext uri="{02D57815-91ED-43cb-92C2-25804820EDAC}">
                        <c15:formulaRef>
                          <c15:sqref>Sheet1!$A$5</c15:sqref>
                        </c15:formulaRef>
                      </c:ext>
                    </c:extLst>
                    <c:strCache>
                      <c:ptCount val="1"/>
                      <c:pt idx="0">
                        <c:v>Domestic Debt</c:v>
                      </c:pt>
                    </c:strCache>
                  </c:strRef>
                </c:tx>
                <c:spPr>
                  <a:solidFill>
                    <a:schemeClr val="accent4"/>
                  </a:solidFill>
                  <a:ln>
                    <a:noFill/>
                  </a:ln>
                  <a:effectLst/>
                </c:spPr>
                <c:invertIfNegative val="0"/>
                <c:cat>
                  <c:strRef>
                    <c:extLst>
                      <c:ext uri="{02D57815-91ED-43cb-92C2-25804820EDAC}">
                        <c15:formulaRef>
                          <c15:sqref>Sheet1!$B$1:$G$1</c15:sqref>
                        </c15:formulaRef>
                      </c:ext>
                    </c:extLst>
                    <c:strCache>
                      <c:ptCount val="5"/>
                      <c:pt idx="0">
                        <c:v>14/15</c:v>
                      </c:pt>
                      <c:pt idx="1">
                        <c:v>15/16</c:v>
                      </c:pt>
                      <c:pt idx="2">
                        <c:v>16/17</c:v>
                      </c:pt>
                      <c:pt idx="3">
                        <c:v>17/18</c:v>
                      </c:pt>
                      <c:pt idx="4">
                        <c:v>18/19</c:v>
                      </c:pt>
                    </c:strCache>
                  </c:strRef>
                </c:cat>
                <c:val>
                  <c:numRef>
                    <c:extLst>
                      <c:ext uri="{02D57815-91ED-43cb-92C2-25804820EDAC}">
                        <c15:formulaRef>
                          <c15:sqref>Sheet1!$B$5:$G$5</c15:sqref>
                        </c15:formulaRef>
                      </c:ext>
                    </c:extLst>
                    <c:numCache>
                      <c:formatCode>#,##0.00</c:formatCode>
                      <c:ptCount val="5"/>
                      <c:pt idx="0">
                        <c:v>1178179.8899999999</c:v>
                      </c:pt>
                      <c:pt idx="1">
                        <c:v>1407081.5</c:v>
                      </c:pt>
                      <c:pt idx="2">
                        <c:v>1677235.21</c:v>
                      </c:pt>
                      <c:pt idx="3">
                        <c:v>1969242.09</c:v>
                      </c:pt>
                      <c:pt idx="4">
                        <c:v>2278507.09</c:v>
                      </c:pt>
                    </c:numCache>
                  </c:numRef>
                </c:val>
                <c:extLst>
                  <c:ext xmlns:c16="http://schemas.microsoft.com/office/drawing/2014/chart" uri="{C3380CC4-5D6E-409C-BE32-E72D297353CC}">
                    <c16:uniqueId val="{00000007-9F3D-40A3-A4EC-B812407AF663}"/>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Sheet1!$A$6</c15:sqref>
                        </c15:formulaRef>
                      </c:ext>
                    </c:extLst>
                    <c:strCache>
                      <c:ptCount val="1"/>
                      <c:pt idx="0">
                        <c:v>Total Public Debt</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Sheet1!$B$1:$G$1</c15:sqref>
                        </c15:formulaRef>
                      </c:ext>
                    </c:extLst>
                    <c:strCache>
                      <c:ptCount val="5"/>
                      <c:pt idx="0">
                        <c:v>14/15</c:v>
                      </c:pt>
                      <c:pt idx="1">
                        <c:v>15/16</c:v>
                      </c:pt>
                      <c:pt idx="2">
                        <c:v>16/17</c:v>
                      </c:pt>
                      <c:pt idx="3">
                        <c:v>17/18</c:v>
                      </c:pt>
                      <c:pt idx="4">
                        <c:v>18/19</c:v>
                      </c:pt>
                    </c:strCache>
                  </c:strRef>
                </c:cat>
                <c:val>
                  <c:numRef>
                    <c:extLst xmlns:c15="http://schemas.microsoft.com/office/drawing/2012/chart">
                      <c:ext xmlns:c15="http://schemas.microsoft.com/office/drawing/2012/chart" uri="{02D57815-91ED-43cb-92C2-25804820EDAC}">
                        <c15:formulaRef>
                          <c15:sqref>Sheet1!$B$6:$G$6</c15:sqref>
                        </c15:formulaRef>
                      </c:ext>
                    </c:extLst>
                    <c:numCache>
                      <c:formatCode>#,##0.00</c:formatCode>
                      <c:ptCount val="5"/>
                      <c:pt idx="0">
                        <c:v>2601432.13</c:v>
                      </c:pt>
                      <c:pt idx="1">
                        <c:v>3203279.02</c:v>
                      </c:pt>
                      <c:pt idx="2">
                        <c:v>3971388.19</c:v>
                      </c:pt>
                      <c:pt idx="3">
                        <c:v>4537640.7700000005</c:v>
                      </c:pt>
                      <c:pt idx="4">
                        <c:v>5301646.5600000005</c:v>
                      </c:pt>
                    </c:numCache>
                  </c:numRef>
                </c:val>
                <c:extLst xmlns:c15="http://schemas.microsoft.com/office/drawing/2012/chart">
                  <c:ext xmlns:c16="http://schemas.microsoft.com/office/drawing/2014/chart" uri="{C3380CC4-5D6E-409C-BE32-E72D297353CC}">
                    <c16:uniqueId val="{00000008-9F3D-40A3-A4EC-B812407AF663}"/>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Sheet1!$A$8</c15:sqref>
                        </c15:formulaRef>
                      </c:ext>
                    </c:extLst>
                    <c:strCache>
                      <c:ptCount val="1"/>
                      <c:pt idx="0">
                        <c:v>Tax Revenue</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Sheet1!$B$1:$G$1</c15:sqref>
                        </c15:formulaRef>
                      </c:ext>
                    </c:extLst>
                    <c:strCache>
                      <c:ptCount val="5"/>
                      <c:pt idx="0">
                        <c:v>14/15</c:v>
                      </c:pt>
                      <c:pt idx="1">
                        <c:v>15/16</c:v>
                      </c:pt>
                      <c:pt idx="2">
                        <c:v>16/17</c:v>
                      </c:pt>
                      <c:pt idx="3">
                        <c:v>17/18</c:v>
                      </c:pt>
                      <c:pt idx="4">
                        <c:v>18/19</c:v>
                      </c:pt>
                    </c:strCache>
                  </c:strRef>
                </c:cat>
                <c:val>
                  <c:numRef>
                    <c:extLst xmlns:c15="http://schemas.microsoft.com/office/drawing/2012/chart">
                      <c:ext xmlns:c15="http://schemas.microsoft.com/office/drawing/2012/chart" uri="{02D57815-91ED-43cb-92C2-25804820EDAC}">
                        <c15:formulaRef>
                          <c15:sqref>Sheet1!$B$8:$G$8</c15:sqref>
                        </c15:formulaRef>
                      </c:ext>
                    </c:extLst>
                    <c:numCache>
                      <c:formatCode>#,##0.00</c:formatCode>
                      <c:ptCount val="5"/>
                      <c:pt idx="0">
                        <c:v>1021597.03</c:v>
                      </c:pt>
                      <c:pt idx="1">
                        <c:v>1147236.0900000001</c:v>
                      </c:pt>
                      <c:pt idx="2">
                        <c:v>1286814.8899999999</c:v>
                      </c:pt>
                      <c:pt idx="3">
                        <c:v>1350988.58</c:v>
                      </c:pt>
                      <c:pt idx="4">
                        <c:v>1557817.34</c:v>
                      </c:pt>
                    </c:numCache>
                  </c:numRef>
                </c:val>
                <c:extLst xmlns:c15="http://schemas.microsoft.com/office/drawing/2012/chart">
                  <c:ext xmlns:c16="http://schemas.microsoft.com/office/drawing/2014/chart" uri="{C3380CC4-5D6E-409C-BE32-E72D297353CC}">
                    <c16:uniqueId val="{00000009-9F3D-40A3-A4EC-B812407AF663}"/>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Sheet1!$A$9</c15:sqref>
                        </c15:formulaRef>
                      </c:ext>
                    </c:extLst>
                    <c:strCache>
                      <c:ptCount val="1"/>
                      <c:pt idx="0">
                        <c:v>Grants</c:v>
                      </c:pt>
                    </c:strCache>
                  </c:strRef>
                </c:tx>
                <c:spPr>
                  <a:solidFill>
                    <a:schemeClr val="accent2">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Sheet1!$B$1:$G$1</c15:sqref>
                        </c15:formulaRef>
                      </c:ext>
                    </c:extLst>
                    <c:strCache>
                      <c:ptCount val="5"/>
                      <c:pt idx="0">
                        <c:v>14/15</c:v>
                      </c:pt>
                      <c:pt idx="1">
                        <c:v>15/16</c:v>
                      </c:pt>
                      <c:pt idx="2">
                        <c:v>16/17</c:v>
                      </c:pt>
                      <c:pt idx="3">
                        <c:v>17/18</c:v>
                      </c:pt>
                      <c:pt idx="4">
                        <c:v>18/19</c:v>
                      </c:pt>
                    </c:strCache>
                  </c:strRef>
                </c:cat>
                <c:val>
                  <c:numRef>
                    <c:extLst xmlns:c15="http://schemas.microsoft.com/office/drawing/2012/chart">
                      <c:ext xmlns:c15="http://schemas.microsoft.com/office/drawing/2012/chart" uri="{02D57815-91ED-43cb-92C2-25804820EDAC}">
                        <c15:formulaRef>
                          <c15:sqref>Sheet1!$B$9:$G$9</c15:sqref>
                        </c15:formulaRef>
                      </c:ext>
                    </c:extLst>
                    <c:numCache>
                      <c:formatCode>#,##0.00</c:formatCode>
                      <c:ptCount val="5"/>
                      <c:pt idx="0">
                        <c:v>28117.49</c:v>
                      </c:pt>
                      <c:pt idx="1">
                        <c:v>29596.68</c:v>
                      </c:pt>
                      <c:pt idx="2">
                        <c:v>25903.99</c:v>
                      </c:pt>
                      <c:pt idx="3">
                        <c:v>27600.14</c:v>
                      </c:pt>
                      <c:pt idx="4">
                        <c:v>47483</c:v>
                      </c:pt>
                    </c:numCache>
                  </c:numRef>
                </c:val>
                <c:extLst xmlns:c15="http://schemas.microsoft.com/office/drawing/2012/chart">
                  <c:ext xmlns:c16="http://schemas.microsoft.com/office/drawing/2014/chart" uri="{C3380CC4-5D6E-409C-BE32-E72D297353CC}">
                    <c16:uniqueId val="{0000000A-9F3D-40A3-A4EC-B812407AF663}"/>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Sheet1!$A$10</c15:sqref>
                        </c15:formulaRef>
                      </c:ext>
                    </c:extLst>
                    <c:strCache>
                      <c:ptCount val="1"/>
                      <c:pt idx="0">
                        <c:v>Other Income</c:v>
                      </c:pt>
                    </c:strCache>
                  </c:strRef>
                </c:tx>
                <c:spPr>
                  <a:solidFill>
                    <a:schemeClr val="accent3">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Sheet1!$B$1:$G$1</c15:sqref>
                        </c15:formulaRef>
                      </c:ext>
                    </c:extLst>
                    <c:strCache>
                      <c:ptCount val="5"/>
                      <c:pt idx="0">
                        <c:v>14/15</c:v>
                      </c:pt>
                      <c:pt idx="1">
                        <c:v>15/16</c:v>
                      </c:pt>
                      <c:pt idx="2">
                        <c:v>16/17</c:v>
                      </c:pt>
                      <c:pt idx="3">
                        <c:v>17/18</c:v>
                      </c:pt>
                      <c:pt idx="4">
                        <c:v>18/19</c:v>
                      </c:pt>
                    </c:strCache>
                  </c:strRef>
                </c:cat>
                <c:val>
                  <c:numRef>
                    <c:extLst xmlns:c15="http://schemas.microsoft.com/office/drawing/2012/chart">
                      <c:ext xmlns:c15="http://schemas.microsoft.com/office/drawing/2012/chart" uri="{02D57815-91ED-43cb-92C2-25804820EDAC}">
                        <c15:formulaRef>
                          <c15:sqref>Sheet1!$B$10:$G$10</c15:sqref>
                        </c15:formulaRef>
                      </c:ext>
                    </c:extLst>
                    <c:numCache>
                      <c:formatCode>#,##0.00</c:formatCode>
                      <c:ptCount val="5"/>
                      <c:pt idx="0">
                        <c:v>322475.25</c:v>
                      </c:pt>
                      <c:pt idx="1">
                        <c:v>294443.71000000002</c:v>
                      </c:pt>
                      <c:pt idx="2">
                        <c:v>303361.46000000002</c:v>
                      </c:pt>
                      <c:pt idx="3">
                        <c:v>370818.89</c:v>
                      </c:pt>
                      <c:pt idx="4">
                        <c:v>422110.39</c:v>
                      </c:pt>
                    </c:numCache>
                  </c:numRef>
                </c:val>
                <c:extLst xmlns:c15="http://schemas.microsoft.com/office/drawing/2012/chart">
                  <c:ext xmlns:c16="http://schemas.microsoft.com/office/drawing/2014/chart" uri="{C3380CC4-5D6E-409C-BE32-E72D297353CC}">
                    <c16:uniqueId val="{0000000B-9F3D-40A3-A4EC-B812407AF663}"/>
                  </c:ext>
                </c:extLst>
              </c15:ser>
            </c15:filteredBarSeries>
            <c15:filteredBarSeries>
              <c15:ser>
                <c:idx val="12"/>
                <c:order val="12"/>
                <c:tx>
                  <c:strRef>
                    <c:extLst xmlns:c15="http://schemas.microsoft.com/office/drawing/2012/chart">
                      <c:ext xmlns:c15="http://schemas.microsoft.com/office/drawing/2012/chart" uri="{02D57815-91ED-43cb-92C2-25804820EDAC}">
                        <c15:formulaRef>
                          <c15:sqref>Sheet1!$A$14</c15:sqref>
                        </c15:formulaRef>
                      </c:ext>
                    </c:extLst>
                    <c:strCache>
                      <c:ptCount val="1"/>
                      <c:pt idx="0">
                        <c:v>Debt: GDP</c:v>
                      </c:pt>
                    </c:strCache>
                  </c:strRef>
                </c:tx>
                <c:spPr>
                  <a:solidFill>
                    <a:schemeClr val="accent1">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Sheet1!$B$1:$G$1</c15:sqref>
                        </c15:formulaRef>
                      </c:ext>
                    </c:extLst>
                    <c:strCache>
                      <c:ptCount val="5"/>
                      <c:pt idx="0">
                        <c:v>14/15</c:v>
                      </c:pt>
                      <c:pt idx="1">
                        <c:v>15/16</c:v>
                      </c:pt>
                      <c:pt idx="2">
                        <c:v>16/17</c:v>
                      </c:pt>
                      <c:pt idx="3">
                        <c:v>17/18</c:v>
                      </c:pt>
                      <c:pt idx="4">
                        <c:v>18/19</c:v>
                      </c:pt>
                    </c:strCache>
                  </c:strRef>
                </c:cat>
                <c:val>
                  <c:numRef>
                    <c:extLst xmlns:c15="http://schemas.microsoft.com/office/drawing/2012/chart">
                      <c:ext xmlns:c15="http://schemas.microsoft.com/office/drawing/2012/chart" uri="{02D57815-91ED-43cb-92C2-25804820EDAC}">
                        <c15:formulaRef>
                          <c15:sqref>Sheet1!$B$14:$G$14</c15:sqref>
                        </c15:formulaRef>
                      </c:ext>
                    </c:extLst>
                    <c:numCache>
                      <c:formatCode>_-* #,##0.0_-;\-* #,##0.0_-;_-* "-"??_-;_-@_-</c:formatCode>
                      <c:ptCount val="5"/>
                      <c:pt idx="0">
                        <c:v>41.39649182829595</c:v>
                      </c:pt>
                      <c:pt idx="1">
                        <c:v>45.611503577621015</c:v>
                      </c:pt>
                      <c:pt idx="2">
                        <c:v>48.634154199897573</c:v>
                      </c:pt>
                      <c:pt idx="3">
                        <c:v>51.029960939533936</c:v>
                      </c:pt>
                      <c:pt idx="4">
                        <c:v>54.429677753183668</c:v>
                      </c:pt>
                    </c:numCache>
                  </c:numRef>
                </c:val>
                <c:extLst xmlns:c15="http://schemas.microsoft.com/office/drawing/2012/chart">
                  <c:ext xmlns:c16="http://schemas.microsoft.com/office/drawing/2014/chart" uri="{C3380CC4-5D6E-409C-BE32-E72D297353CC}">
                    <c16:uniqueId val="{0000000C-9F3D-40A3-A4EC-B812407AF663}"/>
                  </c:ext>
                </c:extLst>
              </c15:ser>
            </c15:filteredBarSeries>
          </c:ext>
        </c:extLst>
      </c:barChart>
      <c:lineChart>
        <c:grouping val="stacked"/>
        <c:varyColors val="0"/>
        <c:ser>
          <c:idx val="11"/>
          <c:order val="11"/>
          <c:tx>
            <c:strRef>
              <c:f>Sheet1!$A$13</c:f>
              <c:strCache>
                <c:ptCount val="1"/>
                <c:pt idx="0">
                  <c:v>Deficit vs GDP</c:v>
                </c:pt>
              </c:strCache>
            </c:strRef>
          </c:tx>
          <c:spPr>
            <a:ln w="28575" cap="rnd">
              <a:solidFill>
                <a:srgbClr val="FFC000"/>
              </a:solidFill>
              <a:round/>
            </a:ln>
            <a:effectLst/>
          </c:spPr>
          <c:marker>
            <c:symbol val="circle"/>
            <c:size val="5"/>
            <c:spPr>
              <a:solidFill>
                <a:schemeClr val="accent6">
                  <a:lumMod val="60000"/>
                </a:schemeClr>
              </a:solidFill>
              <a:ln w="9525">
                <a:solidFill>
                  <a:srgbClr val="FFC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badi Extra Light" panose="020B0204020104020204" pitchFamily="34" charset="0"/>
                    <a:ea typeface="+mn-ea"/>
                    <a:cs typeface="+mn-cs"/>
                  </a:defRPr>
                </a:pPr>
                <a:endParaRPr lang="en-K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5"/>
                <c:pt idx="0">
                  <c:v>14/15</c:v>
                </c:pt>
                <c:pt idx="1">
                  <c:v>15/16</c:v>
                </c:pt>
                <c:pt idx="2">
                  <c:v>16/17</c:v>
                </c:pt>
                <c:pt idx="3">
                  <c:v>17/18</c:v>
                </c:pt>
                <c:pt idx="4">
                  <c:v>18/19</c:v>
                </c:pt>
              </c:strCache>
              <c:extLst/>
            </c:strRef>
          </c:cat>
          <c:val>
            <c:numRef>
              <c:f>Sheet1!$B$13:$G$13</c:f>
              <c:numCache>
                <c:formatCode>_-* #,##0.0_-;\-* #,##0.0_-;_-* "-"??_-;_-@_-</c:formatCode>
                <c:ptCount val="5"/>
                <c:pt idx="0">
                  <c:v>3.4971842808574225</c:v>
                </c:pt>
                <c:pt idx="1">
                  <c:v>4.9111965989284014</c:v>
                </c:pt>
                <c:pt idx="2">
                  <c:v>4.9299944818917645</c:v>
                </c:pt>
                <c:pt idx="3">
                  <c:v>5.3364110052157478</c:v>
                </c:pt>
                <c:pt idx="4">
                  <c:v>6.9432769425360048</c:v>
                </c:pt>
              </c:numCache>
              <c:extLst/>
            </c:numRef>
          </c:val>
          <c:smooth val="0"/>
          <c:extLst>
            <c:ext xmlns:c16="http://schemas.microsoft.com/office/drawing/2014/chart" uri="{C3380CC4-5D6E-409C-BE32-E72D297353CC}">
              <c16:uniqueId val="{00000003-9F3D-40A3-A4EC-B812407AF663}"/>
            </c:ext>
          </c:extLst>
        </c:ser>
        <c:dLbls>
          <c:showLegendKey val="0"/>
          <c:showVal val="0"/>
          <c:showCatName val="0"/>
          <c:showSerName val="0"/>
          <c:showPercent val="0"/>
          <c:showBubbleSize val="0"/>
        </c:dLbls>
        <c:marker val="1"/>
        <c:smooth val="0"/>
        <c:axId val="419103248"/>
        <c:axId val="419100048"/>
        <c:extLst>
          <c:ext xmlns:c15="http://schemas.microsoft.com/office/drawing/2012/chart" uri="{02D57815-91ED-43cb-92C2-25804820EDAC}">
            <c15:filteredLineSeries>
              <c15:ser>
                <c:idx val="13"/>
                <c:order val="13"/>
                <c:tx>
                  <c:strRef>
                    <c:extLst>
                      <c:ext uri="{02D57815-91ED-43cb-92C2-25804820EDAC}">
                        <c15:formulaRef>
                          <c15:sqref>Sheet1!$A$15</c15:sqref>
                        </c15:formulaRef>
                      </c:ext>
                    </c:extLst>
                    <c:strCache>
                      <c:ptCount val="1"/>
                      <c:pt idx="0">
                        <c:v>Tax Revenue: GDP Ratio (%)</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strRef>
                    <c:extLst>
                      <c:ext uri="{02D57815-91ED-43cb-92C2-25804820EDAC}">
                        <c15:formulaRef>
                          <c15:sqref>Sheet1!$B$1:$G$1</c15:sqref>
                        </c15:formulaRef>
                      </c:ext>
                    </c:extLst>
                    <c:strCache>
                      <c:ptCount val="5"/>
                      <c:pt idx="0">
                        <c:v>14/15</c:v>
                      </c:pt>
                      <c:pt idx="1">
                        <c:v>15/16</c:v>
                      </c:pt>
                      <c:pt idx="2">
                        <c:v>16/17</c:v>
                      </c:pt>
                      <c:pt idx="3">
                        <c:v>17/18</c:v>
                      </c:pt>
                      <c:pt idx="4">
                        <c:v>18/19</c:v>
                      </c:pt>
                    </c:strCache>
                  </c:strRef>
                </c:cat>
                <c:val>
                  <c:numRef>
                    <c:extLst>
                      <c:ext uri="{02D57815-91ED-43cb-92C2-25804820EDAC}">
                        <c15:formulaRef>
                          <c15:sqref>Sheet1!$B$15:$G$15</c15:sqref>
                        </c15:formulaRef>
                      </c:ext>
                    </c:extLst>
                    <c:numCache>
                      <c:formatCode>General</c:formatCode>
                      <c:ptCount val="5"/>
                      <c:pt idx="0">
                        <c:v>16.3</c:v>
                      </c:pt>
                      <c:pt idx="1">
                        <c:v>16.3</c:v>
                      </c:pt>
                      <c:pt idx="2">
                        <c:v>15.8</c:v>
                      </c:pt>
                      <c:pt idx="3">
                        <c:v>15.2</c:v>
                      </c:pt>
                      <c:pt idx="4">
                        <c:v>16</c:v>
                      </c:pt>
                    </c:numCache>
                  </c:numRef>
                </c:val>
                <c:smooth val="0"/>
                <c:extLst>
                  <c:ext xmlns:c16="http://schemas.microsoft.com/office/drawing/2014/chart" uri="{C3380CC4-5D6E-409C-BE32-E72D297353CC}">
                    <c16:uniqueId val="{0000000D-9F3D-40A3-A4EC-B812407AF663}"/>
                  </c:ext>
                </c:extLst>
              </c15:ser>
            </c15:filteredLineSeries>
          </c:ext>
        </c:extLst>
      </c:lineChart>
      <c:catAx>
        <c:axId val="5183039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badi Extra Light" panose="020B0204020104020204" pitchFamily="34" charset="0"/>
                    <a:ea typeface="+mn-ea"/>
                    <a:cs typeface="+mn-cs"/>
                  </a:defRPr>
                </a:pPr>
                <a:r>
                  <a:rPr lang="en-US"/>
                  <a:t>Financial 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badi Extra Light" panose="020B0204020104020204" pitchFamily="34" charset="0"/>
                  <a:ea typeface="+mn-ea"/>
                  <a:cs typeface="+mn-cs"/>
                </a:defRPr>
              </a:pPr>
              <a:endParaRPr lang="en-K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badi Extra Light" panose="020B0204020104020204" pitchFamily="34" charset="0"/>
                <a:ea typeface="+mn-ea"/>
                <a:cs typeface="+mn-cs"/>
              </a:defRPr>
            </a:pPr>
            <a:endParaRPr lang="en-KE"/>
          </a:p>
        </c:txPr>
        <c:crossAx val="518304272"/>
        <c:crosses val="autoZero"/>
        <c:auto val="1"/>
        <c:lblAlgn val="ctr"/>
        <c:lblOffset val="100"/>
        <c:noMultiLvlLbl val="0"/>
      </c:catAx>
      <c:valAx>
        <c:axId val="518304272"/>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badi Extra Light" panose="020B0204020104020204" pitchFamily="34" charset="0"/>
                    <a:ea typeface="+mn-ea"/>
                    <a:cs typeface="+mn-cs"/>
                  </a:defRPr>
                </a:pPr>
                <a:r>
                  <a:rPr lang="en-US"/>
                  <a:t>KShs in Millions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badi Extra Light" panose="020B0204020104020204" pitchFamily="34" charset="0"/>
                  <a:ea typeface="+mn-ea"/>
                  <a:cs typeface="+mn-cs"/>
                </a:defRPr>
              </a:pPr>
              <a:endParaRPr lang="en-KE"/>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badi Extra Light" panose="020B0204020104020204" pitchFamily="34" charset="0"/>
                <a:ea typeface="+mn-ea"/>
                <a:cs typeface="+mn-cs"/>
              </a:defRPr>
            </a:pPr>
            <a:endParaRPr lang="en-KE"/>
          </a:p>
        </c:txPr>
        <c:crossAx val="518303952"/>
        <c:crosses val="autoZero"/>
        <c:crossBetween val="between"/>
      </c:valAx>
      <c:valAx>
        <c:axId val="419100048"/>
        <c:scaling>
          <c:orientation val="minMax"/>
          <c:max val="7"/>
          <c:min val="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badi Extra Light" panose="020B0204020104020204" pitchFamily="34" charset="0"/>
                    <a:ea typeface="+mn-ea"/>
                    <a:cs typeface="+mn-cs"/>
                  </a:defRPr>
                </a:pPr>
                <a:r>
                  <a:rPr lang="en-US"/>
                  <a:t>Percentage(%)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badi Extra Light" panose="020B0204020104020204" pitchFamily="34" charset="0"/>
                  <a:ea typeface="+mn-ea"/>
                  <a:cs typeface="+mn-cs"/>
                </a:defRPr>
              </a:pPr>
              <a:endParaRPr lang="en-KE"/>
            </a:p>
          </c:txPr>
        </c:title>
        <c:numFmt formatCode="_-* #,##0.0_-;\-* #,##0.0_-;_-* &quot;-&quot;??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badi Extra Light" panose="020B0204020104020204" pitchFamily="34" charset="0"/>
                <a:ea typeface="+mn-ea"/>
                <a:cs typeface="+mn-cs"/>
              </a:defRPr>
            </a:pPr>
            <a:endParaRPr lang="en-KE"/>
          </a:p>
        </c:txPr>
        <c:crossAx val="419103248"/>
        <c:crosses val="max"/>
        <c:crossBetween val="between"/>
      </c:valAx>
      <c:catAx>
        <c:axId val="419103248"/>
        <c:scaling>
          <c:orientation val="minMax"/>
        </c:scaling>
        <c:delete val="1"/>
        <c:axPos val="b"/>
        <c:numFmt formatCode="General" sourceLinked="1"/>
        <c:majorTickMark val="out"/>
        <c:minorTickMark val="none"/>
        <c:tickLblPos val="nextTo"/>
        <c:crossAx val="41910004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badi Extra Light" panose="020B0204020104020204" pitchFamily="34" charset="0"/>
              <a:ea typeface="+mn-ea"/>
              <a:cs typeface="+mn-cs"/>
            </a:defRPr>
          </a:pPr>
          <a:endParaRPr lang="en-KE"/>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0">
          <a:latin typeface="Abadi Extra Light" panose="020B0204020104020204" pitchFamily="34" charset="0"/>
        </a:defRPr>
      </a:pPr>
      <a:endParaRPr lang="en-KE"/>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rgbClr val="0070C0"/>
                </a:solidFill>
                <a:latin typeface="Franklin Gothic Demi" panose="020B0703020102020204" pitchFamily="34" charset="0"/>
                <a:ea typeface="+mn-ea"/>
                <a:cs typeface="+mn-cs"/>
              </a:defRPr>
            </a:pPr>
            <a:r>
              <a:rPr lang="en-US">
                <a:solidFill>
                  <a:srgbClr val="0070C0"/>
                </a:solidFill>
                <a:latin typeface="Franklin Gothic Demi" panose="020B0703020102020204" pitchFamily="34" charset="0"/>
              </a:rPr>
              <a:t>Trends in Public Debt in Kenya</a:t>
            </a:r>
          </a:p>
        </c:rich>
      </c:tx>
      <c:overlay val="0"/>
      <c:spPr>
        <a:noFill/>
        <a:ln>
          <a:noFill/>
        </a:ln>
        <a:effectLst/>
      </c:spPr>
      <c:txPr>
        <a:bodyPr rot="0" spcFirstLastPara="1" vertOverflow="ellipsis" vert="horz" wrap="square" anchor="ctr" anchorCtr="1"/>
        <a:lstStyle/>
        <a:p>
          <a:pPr>
            <a:defRPr sz="1400" b="0" i="0" u="none" strike="noStrike" kern="1200" spc="0" baseline="0">
              <a:solidFill>
                <a:srgbClr val="0070C0"/>
              </a:solidFill>
              <a:latin typeface="Franklin Gothic Demi" panose="020B0703020102020204" pitchFamily="34" charset="0"/>
              <a:ea typeface="+mn-ea"/>
              <a:cs typeface="+mn-cs"/>
            </a:defRPr>
          </a:pPr>
          <a:endParaRPr lang="en-KE"/>
        </a:p>
      </c:txPr>
    </c:title>
    <c:autoTitleDeleted val="0"/>
    <c:plotArea>
      <c:layout/>
      <c:barChart>
        <c:barDir val="col"/>
        <c:grouping val="clustered"/>
        <c:varyColors val="0"/>
        <c:ser>
          <c:idx val="2"/>
          <c:order val="2"/>
          <c:tx>
            <c:strRef>
              <c:f>Sheet1!$A$4</c:f>
              <c:strCache>
                <c:ptCount val="1"/>
                <c:pt idx="0">
                  <c:v>External Debt</c:v>
                </c:pt>
              </c:strCache>
            </c:strRef>
          </c:tx>
          <c:spPr>
            <a:solidFill>
              <a:schemeClr val="accent4">
                <a:lumMod val="60000"/>
                <a:lumOff val="40000"/>
              </a:schemeClr>
            </a:solidFill>
            <a:ln w="25400">
              <a:noFill/>
            </a:ln>
            <a:effectLst/>
          </c:spPr>
          <c:invertIfNegative val="0"/>
          <c:cat>
            <c:strRef>
              <c:f>Sheet1!$B$1:$G$1</c:f>
              <c:strCache>
                <c:ptCount val="5"/>
                <c:pt idx="0">
                  <c:v>14/15</c:v>
                </c:pt>
                <c:pt idx="1">
                  <c:v>15/16</c:v>
                </c:pt>
                <c:pt idx="2">
                  <c:v>16/17</c:v>
                </c:pt>
                <c:pt idx="3">
                  <c:v>17/18</c:v>
                </c:pt>
                <c:pt idx="4">
                  <c:v>18/19</c:v>
                </c:pt>
              </c:strCache>
              <c:extLst/>
            </c:strRef>
          </c:cat>
          <c:val>
            <c:numRef>
              <c:f>Sheet1!$B$4:$G$4</c:f>
              <c:numCache>
                <c:formatCode>#,##0.00</c:formatCode>
                <c:ptCount val="5"/>
                <c:pt idx="0">
                  <c:v>1423252.24</c:v>
                </c:pt>
                <c:pt idx="1">
                  <c:v>1796197.52</c:v>
                </c:pt>
                <c:pt idx="2">
                  <c:v>2294152.98</c:v>
                </c:pt>
                <c:pt idx="3">
                  <c:v>2568398.6800000002</c:v>
                </c:pt>
                <c:pt idx="4">
                  <c:v>3023139.47</c:v>
                </c:pt>
              </c:numCache>
              <c:extLst/>
            </c:numRef>
          </c:val>
          <c:extLst>
            <c:ext xmlns:c16="http://schemas.microsoft.com/office/drawing/2014/chart" uri="{C3380CC4-5D6E-409C-BE32-E72D297353CC}">
              <c16:uniqueId val="{00000000-E3EE-407C-B97B-C3316EEF3DCE}"/>
            </c:ext>
          </c:extLst>
        </c:ser>
        <c:ser>
          <c:idx val="3"/>
          <c:order val="3"/>
          <c:tx>
            <c:strRef>
              <c:f>Sheet1!$A$5</c:f>
              <c:strCache>
                <c:ptCount val="1"/>
                <c:pt idx="0">
                  <c:v>Domestic Debt</c:v>
                </c:pt>
              </c:strCache>
            </c:strRef>
          </c:tx>
          <c:spPr>
            <a:solidFill>
              <a:schemeClr val="accent3"/>
            </a:solidFill>
            <a:ln>
              <a:noFill/>
            </a:ln>
            <a:effectLst/>
          </c:spPr>
          <c:invertIfNegative val="0"/>
          <c:cat>
            <c:strRef>
              <c:f>Sheet1!$B$1:$G$1</c:f>
              <c:strCache>
                <c:ptCount val="5"/>
                <c:pt idx="0">
                  <c:v>14/15</c:v>
                </c:pt>
                <c:pt idx="1">
                  <c:v>15/16</c:v>
                </c:pt>
                <c:pt idx="2">
                  <c:v>16/17</c:v>
                </c:pt>
                <c:pt idx="3">
                  <c:v>17/18</c:v>
                </c:pt>
                <c:pt idx="4">
                  <c:v>18/19</c:v>
                </c:pt>
              </c:strCache>
              <c:extLst/>
            </c:strRef>
          </c:cat>
          <c:val>
            <c:numRef>
              <c:f>Sheet1!$B$5:$G$5</c:f>
              <c:numCache>
                <c:formatCode>#,##0.00</c:formatCode>
                <c:ptCount val="5"/>
                <c:pt idx="0">
                  <c:v>1178179.8899999999</c:v>
                </c:pt>
                <c:pt idx="1">
                  <c:v>1407081.5</c:v>
                </c:pt>
                <c:pt idx="2">
                  <c:v>1677235.21</c:v>
                </c:pt>
                <c:pt idx="3">
                  <c:v>1969242.09</c:v>
                </c:pt>
                <c:pt idx="4">
                  <c:v>2278507.09</c:v>
                </c:pt>
              </c:numCache>
              <c:extLst/>
            </c:numRef>
          </c:val>
          <c:extLst>
            <c:ext xmlns:c16="http://schemas.microsoft.com/office/drawing/2014/chart" uri="{C3380CC4-5D6E-409C-BE32-E72D297353CC}">
              <c16:uniqueId val="{00000001-E3EE-407C-B97B-C3316EEF3DCE}"/>
            </c:ext>
          </c:extLst>
        </c:ser>
        <c:ser>
          <c:idx val="4"/>
          <c:order val="4"/>
          <c:tx>
            <c:strRef>
              <c:f>Sheet1!$A$6</c:f>
              <c:strCache>
                <c:ptCount val="1"/>
                <c:pt idx="0">
                  <c:v>Total Public Debt</c:v>
                </c:pt>
              </c:strCache>
            </c:strRef>
          </c:tx>
          <c:spPr>
            <a:solidFill>
              <a:schemeClr val="accent3">
                <a:lumMod val="40000"/>
                <a:lumOff val="60000"/>
              </a:schemeClr>
            </a:solidFill>
            <a:ln>
              <a:noFill/>
            </a:ln>
            <a:effectLst/>
          </c:spPr>
          <c:invertIfNegative val="0"/>
          <c:cat>
            <c:strRef>
              <c:f>Sheet1!$B$1:$G$1</c:f>
              <c:strCache>
                <c:ptCount val="5"/>
                <c:pt idx="0">
                  <c:v>14/15</c:v>
                </c:pt>
                <c:pt idx="1">
                  <c:v>15/16</c:v>
                </c:pt>
                <c:pt idx="2">
                  <c:v>16/17</c:v>
                </c:pt>
                <c:pt idx="3">
                  <c:v>17/18</c:v>
                </c:pt>
                <c:pt idx="4">
                  <c:v>18/19</c:v>
                </c:pt>
              </c:strCache>
              <c:extLst/>
            </c:strRef>
          </c:cat>
          <c:val>
            <c:numRef>
              <c:f>Sheet1!$B$6:$G$6</c:f>
              <c:numCache>
                <c:formatCode>#,##0.00</c:formatCode>
                <c:ptCount val="5"/>
                <c:pt idx="0">
                  <c:v>2601432.13</c:v>
                </c:pt>
                <c:pt idx="1">
                  <c:v>3203279.02</c:v>
                </c:pt>
                <c:pt idx="2">
                  <c:v>3971388.19</c:v>
                </c:pt>
                <c:pt idx="3">
                  <c:v>4537640.7700000005</c:v>
                </c:pt>
                <c:pt idx="4">
                  <c:v>5301646.5600000005</c:v>
                </c:pt>
              </c:numCache>
              <c:extLst/>
            </c:numRef>
          </c:val>
          <c:extLst>
            <c:ext xmlns:c16="http://schemas.microsoft.com/office/drawing/2014/chart" uri="{C3380CC4-5D6E-409C-BE32-E72D297353CC}">
              <c16:uniqueId val="{00000002-E3EE-407C-B97B-C3316EEF3DCE}"/>
            </c:ext>
          </c:extLst>
        </c:ser>
        <c:dLbls>
          <c:showLegendKey val="0"/>
          <c:showVal val="0"/>
          <c:showCatName val="0"/>
          <c:showSerName val="0"/>
          <c:showPercent val="0"/>
          <c:showBubbleSize val="0"/>
        </c:dLbls>
        <c:gapWidth val="150"/>
        <c:axId val="518320272"/>
        <c:axId val="518320592"/>
        <c:extLst>
          <c:ext xmlns:c15="http://schemas.microsoft.com/office/drawing/2012/chart" uri="{02D57815-91ED-43cb-92C2-25804820EDAC}">
            <c15:filteredBarSeries>
              <c15:ser>
                <c:idx val="0"/>
                <c:order val="0"/>
                <c:tx>
                  <c:strRef>
                    <c:extLst>
                      <c:ext uri="{02D57815-91ED-43cb-92C2-25804820EDAC}">
                        <c15:formulaRef>
                          <c15:sqref>Sheet1!$A$2</c15:sqref>
                        </c15:formulaRef>
                      </c:ext>
                    </c:extLst>
                    <c:strCache>
                      <c:ptCount val="1"/>
                      <c:pt idx="0">
                        <c:v>GDP</c:v>
                      </c:pt>
                    </c:strCache>
                  </c:strRef>
                </c:tx>
                <c:spPr>
                  <a:solidFill>
                    <a:schemeClr val="accent1"/>
                  </a:solidFill>
                  <a:ln w="25400">
                    <a:noFill/>
                  </a:ln>
                  <a:effectLst/>
                </c:spPr>
                <c:invertIfNegative val="0"/>
                <c:cat>
                  <c:strRef>
                    <c:extLst>
                      <c:ext uri="{02D57815-91ED-43cb-92C2-25804820EDAC}">
                        <c15:formulaRef>
                          <c15:sqref>Sheet1!$B$1:$G$1</c15:sqref>
                        </c15:formulaRef>
                      </c:ext>
                    </c:extLst>
                    <c:strCache>
                      <c:ptCount val="5"/>
                      <c:pt idx="0">
                        <c:v>14/15</c:v>
                      </c:pt>
                      <c:pt idx="1">
                        <c:v>15/16</c:v>
                      </c:pt>
                      <c:pt idx="2">
                        <c:v>16/17</c:v>
                      </c:pt>
                      <c:pt idx="3">
                        <c:v>17/18</c:v>
                      </c:pt>
                      <c:pt idx="4">
                        <c:v>18/19</c:v>
                      </c:pt>
                    </c:strCache>
                  </c:strRef>
                </c:cat>
                <c:val>
                  <c:numRef>
                    <c:extLst>
                      <c:ext uri="{02D57815-91ED-43cb-92C2-25804820EDAC}">
                        <c15:formulaRef>
                          <c15:sqref>Sheet1!$B$2:$G$2</c15:sqref>
                        </c15:formulaRef>
                      </c:ext>
                    </c:extLst>
                    <c:numCache>
                      <c:formatCode>#,##0</c:formatCode>
                      <c:ptCount val="5"/>
                      <c:pt idx="0">
                        <c:v>6284185</c:v>
                      </c:pt>
                      <c:pt idx="1">
                        <c:v>7022963</c:v>
                      </c:pt>
                      <c:pt idx="2">
                        <c:v>8165842</c:v>
                      </c:pt>
                      <c:pt idx="3">
                        <c:v>8892111</c:v>
                      </c:pt>
                      <c:pt idx="4">
                        <c:v>9740360</c:v>
                      </c:pt>
                    </c:numCache>
                  </c:numRef>
                </c:val>
                <c:extLst>
                  <c:ext xmlns:c16="http://schemas.microsoft.com/office/drawing/2014/chart" uri="{C3380CC4-5D6E-409C-BE32-E72D297353CC}">
                    <c16:uniqueId val="{00000004-E3EE-407C-B97B-C3316EEF3DCE}"/>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Sheet1!$A$3</c15:sqref>
                        </c15:formulaRef>
                      </c:ext>
                    </c:extLst>
                    <c:strCache>
                      <c:ptCount val="1"/>
                      <c:pt idx="0">
                        <c:v>Population</c:v>
                      </c:pt>
                    </c:strCache>
                  </c:strRef>
                </c:tx>
                <c:spPr>
                  <a:solidFill>
                    <a:schemeClr val="accent2"/>
                  </a:solidFill>
                  <a:ln w="25400">
                    <a:noFill/>
                  </a:ln>
                  <a:effectLst/>
                </c:spPr>
                <c:invertIfNegative val="0"/>
                <c:cat>
                  <c:strRef>
                    <c:extLst xmlns:c15="http://schemas.microsoft.com/office/drawing/2012/chart">
                      <c:ext xmlns:c15="http://schemas.microsoft.com/office/drawing/2012/chart" uri="{02D57815-91ED-43cb-92C2-25804820EDAC}">
                        <c15:formulaRef>
                          <c15:sqref>Sheet1!$B$1:$G$1</c15:sqref>
                        </c15:formulaRef>
                      </c:ext>
                    </c:extLst>
                    <c:strCache>
                      <c:ptCount val="5"/>
                      <c:pt idx="0">
                        <c:v>14/15</c:v>
                      </c:pt>
                      <c:pt idx="1">
                        <c:v>15/16</c:v>
                      </c:pt>
                      <c:pt idx="2">
                        <c:v>16/17</c:v>
                      </c:pt>
                      <c:pt idx="3">
                        <c:v>17/18</c:v>
                      </c:pt>
                      <c:pt idx="4">
                        <c:v>18/19</c:v>
                      </c:pt>
                    </c:strCache>
                  </c:strRef>
                </c:cat>
                <c:val>
                  <c:numRef>
                    <c:extLst xmlns:c15="http://schemas.microsoft.com/office/drawing/2012/chart">
                      <c:ext xmlns:c15="http://schemas.microsoft.com/office/drawing/2012/chart" uri="{02D57815-91ED-43cb-92C2-25804820EDAC}">
                        <c15:formulaRef>
                          <c15:sqref>Sheet1!$B$3:$G$3</c15:sqref>
                        </c15:formulaRef>
                      </c:ext>
                    </c:extLst>
                    <c:numCache>
                      <c:formatCode>_(* #,##0.00_);_(* \(#,##0.00\);_(* "-"??_);_(@_)</c:formatCode>
                      <c:ptCount val="5"/>
                      <c:pt idx="1">
                        <c:v>43300000</c:v>
                      </c:pt>
                      <c:pt idx="2">
                        <c:v>44300000</c:v>
                      </c:pt>
                      <c:pt idx="3">
                        <c:v>45400000</c:v>
                      </c:pt>
                      <c:pt idx="4">
                        <c:v>46500000</c:v>
                      </c:pt>
                    </c:numCache>
                  </c:numRef>
                </c:val>
                <c:extLst xmlns:c15="http://schemas.microsoft.com/office/drawing/2012/chart">
                  <c:ext xmlns:c16="http://schemas.microsoft.com/office/drawing/2014/chart" uri="{C3380CC4-5D6E-409C-BE32-E72D297353CC}">
                    <c16:uniqueId val="{00000005-E3EE-407C-B97B-C3316EEF3DCE}"/>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Sheet1!$A$7</c15:sqref>
                        </c15:formulaRef>
                      </c:ext>
                    </c:extLst>
                    <c:strCache>
                      <c:ptCount val="1"/>
                      <c:pt idx="0">
                        <c:v>TGE</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Sheet1!$B$1:$G$1</c15:sqref>
                        </c15:formulaRef>
                      </c:ext>
                    </c:extLst>
                    <c:strCache>
                      <c:ptCount val="5"/>
                      <c:pt idx="0">
                        <c:v>14/15</c:v>
                      </c:pt>
                      <c:pt idx="1">
                        <c:v>15/16</c:v>
                      </c:pt>
                      <c:pt idx="2">
                        <c:v>16/17</c:v>
                      </c:pt>
                      <c:pt idx="3">
                        <c:v>17/18</c:v>
                      </c:pt>
                      <c:pt idx="4">
                        <c:v>18/19</c:v>
                      </c:pt>
                    </c:strCache>
                  </c:strRef>
                </c:cat>
                <c:val>
                  <c:numRef>
                    <c:extLst xmlns:c15="http://schemas.microsoft.com/office/drawing/2012/chart">
                      <c:ext xmlns:c15="http://schemas.microsoft.com/office/drawing/2012/chart" uri="{02D57815-91ED-43cb-92C2-25804820EDAC}">
                        <c15:formulaRef>
                          <c15:sqref>Sheet1!$B$7:$G$7</c15:sqref>
                        </c15:formulaRef>
                      </c:ext>
                    </c:extLst>
                    <c:numCache>
                      <c:formatCode>#,##0.00</c:formatCode>
                      <c:ptCount val="5"/>
                      <c:pt idx="0">
                        <c:v>1591959.3</c:v>
                      </c:pt>
                      <c:pt idx="1">
                        <c:v>1816188</c:v>
                      </c:pt>
                      <c:pt idx="2">
                        <c:v>2018655.9</c:v>
                      </c:pt>
                      <c:pt idx="3">
                        <c:v>2223927.2000000002</c:v>
                      </c:pt>
                      <c:pt idx="4">
                        <c:v>2703710.9</c:v>
                      </c:pt>
                    </c:numCache>
                  </c:numRef>
                </c:val>
                <c:extLst xmlns:c15="http://schemas.microsoft.com/office/drawing/2012/chart">
                  <c:ext xmlns:c16="http://schemas.microsoft.com/office/drawing/2014/chart" uri="{C3380CC4-5D6E-409C-BE32-E72D297353CC}">
                    <c16:uniqueId val="{00000006-E3EE-407C-B97B-C3316EEF3DCE}"/>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Sheet1!$A$8</c15:sqref>
                        </c15:formulaRef>
                      </c:ext>
                    </c:extLst>
                    <c:strCache>
                      <c:ptCount val="1"/>
                      <c:pt idx="0">
                        <c:v>Tax Revenue</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Sheet1!$B$1:$G$1</c15:sqref>
                        </c15:formulaRef>
                      </c:ext>
                    </c:extLst>
                    <c:strCache>
                      <c:ptCount val="5"/>
                      <c:pt idx="0">
                        <c:v>14/15</c:v>
                      </c:pt>
                      <c:pt idx="1">
                        <c:v>15/16</c:v>
                      </c:pt>
                      <c:pt idx="2">
                        <c:v>16/17</c:v>
                      </c:pt>
                      <c:pt idx="3">
                        <c:v>17/18</c:v>
                      </c:pt>
                      <c:pt idx="4">
                        <c:v>18/19</c:v>
                      </c:pt>
                    </c:strCache>
                  </c:strRef>
                </c:cat>
                <c:val>
                  <c:numRef>
                    <c:extLst xmlns:c15="http://schemas.microsoft.com/office/drawing/2012/chart">
                      <c:ext xmlns:c15="http://schemas.microsoft.com/office/drawing/2012/chart" uri="{02D57815-91ED-43cb-92C2-25804820EDAC}">
                        <c15:formulaRef>
                          <c15:sqref>Sheet1!$B$8:$G$8</c15:sqref>
                        </c15:formulaRef>
                      </c:ext>
                    </c:extLst>
                    <c:numCache>
                      <c:formatCode>#,##0.00</c:formatCode>
                      <c:ptCount val="5"/>
                      <c:pt idx="0">
                        <c:v>1021597.03</c:v>
                      </c:pt>
                      <c:pt idx="1">
                        <c:v>1147236.0900000001</c:v>
                      </c:pt>
                      <c:pt idx="2">
                        <c:v>1286814.8899999999</c:v>
                      </c:pt>
                      <c:pt idx="3">
                        <c:v>1350988.58</c:v>
                      </c:pt>
                      <c:pt idx="4">
                        <c:v>1557817.34</c:v>
                      </c:pt>
                    </c:numCache>
                  </c:numRef>
                </c:val>
                <c:extLst xmlns:c15="http://schemas.microsoft.com/office/drawing/2012/chart">
                  <c:ext xmlns:c16="http://schemas.microsoft.com/office/drawing/2014/chart" uri="{C3380CC4-5D6E-409C-BE32-E72D297353CC}">
                    <c16:uniqueId val="{00000007-E3EE-407C-B97B-C3316EEF3DCE}"/>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Sheet1!$A$9</c15:sqref>
                        </c15:formulaRef>
                      </c:ext>
                    </c:extLst>
                    <c:strCache>
                      <c:ptCount val="1"/>
                      <c:pt idx="0">
                        <c:v>Grants</c:v>
                      </c:pt>
                    </c:strCache>
                  </c:strRef>
                </c:tx>
                <c:spPr>
                  <a:solidFill>
                    <a:schemeClr val="accent2">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Sheet1!$B$1:$G$1</c15:sqref>
                        </c15:formulaRef>
                      </c:ext>
                    </c:extLst>
                    <c:strCache>
                      <c:ptCount val="5"/>
                      <c:pt idx="0">
                        <c:v>14/15</c:v>
                      </c:pt>
                      <c:pt idx="1">
                        <c:v>15/16</c:v>
                      </c:pt>
                      <c:pt idx="2">
                        <c:v>16/17</c:v>
                      </c:pt>
                      <c:pt idx="3">
                        <c:v>17/18</c:v>
                      </c:pt>
                      <c:pt idx="4">
                        <c:v>18/19</c:v>
                      </c:pt>
                    </c:strCache>
                  </c:strRef>
                </c:cat>
                <c:val>
                  <c:numRef>
                    <c:extLst xmlns:c15="http://schemas.microsoft.com/office/drawing/2012/chart">
                      <c:ext xmlns:c15="http://schemas.microsoft.com/office/drawing/2012/chart" uri="{02D57815-91ED-43cb-92C2-25804820EDAC}">
                        <c15:formulaRef>
                          <c15:sqref>Sheet1!$B$9:$G$9</c15:sqref>
                        </c15:formulaRef>
                      </c:ext>
                    </c:extLst>
                    <c:numCache>
                      <c:formatCode>#,##0.00</c:formatCode>
                      <c:ptCount val="5"/>
                      <c:pt idx="0">
                        <c:v>28117.49</c:v>
                      </c:pt>
                      <c:pt idx="1">
                        <c:v>29596.68</c:v>
                      </c:pt>
                      <c:pt idx="2">
                        <c:v>25903.99</c:v>
                      </c:pt>
                      <c:pt idx="3">
                        <c:v>27600.14</c:v>
                      </c:pt>
                      <c:pt idx="4">
                        <c:v>47483</c:v>
                      </c:pt>
                    </c:numCache>
                  </c:numRef>
                </c:val>
                <c:extLst xmlns:c15="http://schemas.microsoft.com/office/drawing/2012/chart">
                  <c:ext xmlns:c16="http://schemas.microsoft.com/office/drawing/2014/chart" uri="{C3380CC4-5D6E-409C-BE32-E72D297353CC}">
                    <c16:uniqueId val="{00000008-E3EE-407C-B97B-C3316EEF3DCE}"/>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Sheet1!$A$10</c15:sqref>
                        </c15:formulaRef>
                      </c:ext>
                    </c:extLst>
                    <c:strCache>
                      <c:ptCount val="1"/>
                      <c:pt idx="0">
                        <c:v>Other Income</c:v>
                      </c:pt>
                    </c:strCache>
                  </c:strRef>
                </c:tx>
                <c:spPr>
                  <a:solidFill>
                    <a:schemeClr val="accent3">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Sheet1!$B$1:$G$1</c15:sqref>
                        </c15:formulaRef>
                      </c:ext>
                    </c:extLst>
                    <c:strCache>
                      <c:ptCount val="5"/>
                      <c:pt idx="0">
                        <c:v>14/15</c:v>
                      </c:pt>
                      <c:pt idx="1">
                        <c:v>15/16</c:v>
                      </c:pt>
                      <c:pt idx="2">
                        <c:v>16/17</c:v>
                      </c:pt>
                      <c:pt idx="3">
                        <c:v>17/18</c:v>
                      </c:pt>
                      <c:pt idx="4">
                        <c:v>18/19</c:v>
                      </c:pt>
                    </c:strCache>
                  </c:strRef>
                </c:cat>
                <c:val>
                  <c:numRef>
                    <c:extLst xmlns:c15="http://schemas.microsoft.com/office/drawing/2012/chart">
                      <c:ext xmlns:c15="http://schemas.microsoft.com/office/drawing/2012/chart" uri="{02D57815-91ED-43cb-92C2-25804820EDAC}">
                        <c15:formulaRef>
                          <c15:sqref>Sheet1!$B$10:$G$10</c15:sqref>
                        </c15:formulaRef>
                      </c:ext>
                    </c:extLst>
                    <c:numCache>
                      <c:formatCode>#,##0.00</c:formatCode>
                      <c:ptCount val="5"/>
                      <c:pt idx="0">
                        <c:v>322475.25</c:v>
                      </c:pt>
                      <c:pt idx="1">
                        <c:v>294443.71000000002</c:v>
                      </c:pt>
                      <c:pt idx="2">
                        <c:v>303361.46000000002</c:v>
                      </c:pt>
                      <c:pt idx="3">
                        <c:v>370818.89</c:v>
                      </c:pt>
                      <c:pt idx="4">
                        <c:v>422110.39</c:v>
                      </c:pt>
                    </c:numCache>
                  </c:numRef>
                </c:val>
                <c:extLst xmlns:c15="http://schemas.microsoft.com/office/drawing/2012/chart">
                  <c:ext xmlns:c16="http://schemas.microsoft.com/office/drawing/2014/chart" uri="{C3380CC4-5D6E-409C-BE32-E72D297353CC}">
                    <c16:uniqueId val="{00000009-E3EE-407C-B97B-C3316EEF3DCE}"/>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Sheet1!$A$11</c15:sqref>
                        </c15:formulaRef>
                      </c:ext>
                    </c:extLst>
                    <c:strCache>
                      <c:ptCount val="1"/>
                      <c:pt idx="0">
                        <c:v>Total Non-Debt Income</c:v>
                      </c:pt>
                    </c:strCache>
                  </c:strRef>
                </c:tx>
                <c:spPr>
                  <a:solidFill>
                    <a:schemeClr val="accent4">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Sheet1!$B$1:$G$1</c15:sqref>
                        </c15:formulaRef>
                      </c:ext>
                    </c:extLst>
                    <c:strCache>
                      <c:ptCount val="5"/>
                      <c:pt idx="0">
                        <c:v>14/15</c:v>
                      </c:pt>
                      <c:pt idx="1">
                        <c:v>15/16</c:v>
                      </c:pt>
                      <c:pt idx="2">
                        <c:v>16/17</c:v>
                      </c:pt>
                      <c:pt idx="3">
                        <c:v>17/18</c:v>
                      </c:pt>
                      <c:pt idx="4">
                        <c:v>18/19</c:v>
                      </c:pt>
                    </c:strCache>
                  </c:strRef>
                </c:cat>
                <c:val>
                  <c:numRef>
                    <c:extLst xmlns:c15="http://schemas.microsoft.com/office/drawing/2012/chart">
                      <c:ext xmlns:c15="http://schemas.microsoft.com/office/drawing/2012/chart" uri="{02D57815-91ED-43cb-92C2-25804820EDAC}">
                        <c15:formulaRef>
                          <c15:sqref>Sheet1!$B$11:$G$11</c15:sqref>
                        </c15:formulaRef>
                      </c:ext>
                    </c:extLst>
                    <c:numCache>
                      <c:formatCode>#,##0.00</c:formatCode>
                      <c:ptCount val="5"/>
                      <c:pt idx="0">
                        <c:v>1372189.77</c:v>
                      </c:pt>
                      <c:pt idx="1">
                        <c:v>1471276.48</c:v>
                      </c:pt>
                      <c:pt idx="2">
                        <c:v>1616080.3399999999</c:v>
                      </c:pt>
                      <c:pt idx="3">
                        <c:v>1749407.61</c:v>
                      </c:pt>
                      <c:pt idx="4">
                        <c:v>2027410.73</c:v>
                      </c:pt>
                    </c:numCache>
                  </c:numRef>
                </c:val>
                <c:extLst xmlns:c15="http://schemas.microsoft.com/office/drawing/2012/chart">
                  <c:ext xmlns:c16="http://schemas.microsoft.com/office/drawing/2014/chart" uri="{C3380CC4-5D6E-409C-BE32-E72D297353CC}">
                    <c16:uniqueId val="{0000000A-E3EE-407C-B97B-C3316EEF3DCE}"/>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Sheet1!$A$12</c15:sqref>
                        </c15:formulaRef>
                      </c:ext>
                    </c:extLst>
                    <c:strCache>
                      <c:ptCount val="1"/>
                      <c:pt idx="0">
                        <c:v>Deficit</c:v>
                      </c:pt>
                    </c:strCache>
                  </c:strRef>
                </c:tx>
                <c:spPr>
                  <a:solidFill>
                    <a:schemeClr val="accent5">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Sheet1!$B$1:$G$1</c15:sqref>
                        </c15:formulaRef>
                      </c:ext>
                    </c:extLst>
                    <c:strCache>
                      <c:ptCount val="5"/>
                      <c:pt idx="0">
                        <c:v>14/15</c:v>
                      </c:pt>
                      <c:pt idx="1">
                        <c:v>15/16</c:v>
                      </c:pt>
                      <c:pt idx="2">
                        <c:v>16/17</c:v>
                      </c:pt>
                      <c:pt idx="3">
                        <c:v>17/18</c:v>
                      </c:pt>
                      <c:pt idx="4">
                        <c:v>18/19</c:v>
                      </c:pt>
                    </c:strCache>
                  </c:strRef>
                </c:cat>
                <c:val>
                  <c:numRef>
                    <c:extLst xmlns:c15="http://schemas.microsoft.com/office/drawing/2012/chart">
                      <c:ext xmlns:c15="http://schemas.microsoft.com/office/drawing/2012/chart" uri="{02D57815-91ED-43cb-92C2-25804820EDAC}">
                        <c15:formulaRef>
                          <c15:sqref>Sheet1!$B$12:$G$12</c15:sqref>
                        </c15:formulaRef>
                      </c:ext>
                    </c:extLst>
                    <c:numCache>
                      <c:formatCode>#,##0.00</c:formatCode>
                      <c:ptCount val="5"/>
                      <c:pt idx="0">
                        <c:v>-219769.53000000003</c:v>
                      </c:pt>
                      <c:pt idx="1">
                        <c:v>-344911.52</c:v>
                      </c:pt>
                      <c:pt idx="2">
                        <c:v>-402575.56000000006</c:v>
                      </c:pt>
                      <c:pt idx="3">
                        <c:v>-474519.59000000008</c:v>
                      </c:pt>
                      <c:pt idx="4">
                        <c:v>-676300.16999999993</c:v>
                      </c:pt>
                    </c:numCache>
                  </c:numRef>
                </c:val>
                <c:extLst xmlns:c15="http://schemas.microsoft.com/office/drawing/2012/chart">
                  <c:ext xmlns:c16="http://schemas.microsoft.com/office/drawing/2014/chart" uri="{C3380CC4-5D6E-409C-BE32-E72D297353CC}">
                    <c16:uniqueId val="{0000000B-E3EE-407C-B97B-C3316EEF3DCE}"/>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Sheet1!$A$13</c15:sqref>
                        </c15:formulaRef>
                      </c:ext>
                    </c:extLst>
                    <c:strCache>
                      <c:ptCount val="1"/>
                      <c:pt idx="0">
                        <c:v>Deficit vs GDP</c:v>
                      </c:pt>
                    </c:strCache>
                  </c:strRef>
                </c:tx>
                <c:spPr>
                  <a:solidFill>
                    <a:schemeClr val="accent6">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Sheet1!$B$1:$G$1</c15:sqref>
                        </c15:formulaRef>
                      </c:ext>
                    </c:extLst>
                    <c:strCache>
                      <c:ptCount val="5"/>
                      <c:pt idx="0">
                        <c:v>14/15</c:v>
                      </c:pt>
                      <c:pt idx="1">
                        <c:v>15/16</c:v>
                      </c:pt>
                      <c:pt idx="2">
                        <c:v>16/17</c:v>
                      </c:pt>
                      <c:pt idx="3">
                        <c:v>17/18</c:v>
                      </c:pt>
                      <c:pt idx="4">
                        <c:v>18/19</c:v>
                      </c:pt>
                    </c:strCache>
                  </c:strRef>
                </c:cat>
                <c:val>
                  <c:numRef>
                    <c:extLst xmlns:c15="http://schemas.microsoft.com/office/drawing/2012/chart">
                      <c:ext xmlns:c15="http://schemas.microsoft.com/office/drawing/2012/chart" uri="{02D57815-91ED-43cb-92C2-25804820EDAC}">
                        <c15:formulaRef>
                          <c15:sqref>Sheet1!$B$13:$G$13</c15:sqref>
                        </c15:formulaRef>
                      </c:ext>
                    </c:extLst>
                    <c:numCache>
                      <c:formatCode>_-* #,##0.0_-;\-* #,##0.0_-;_-* "-"??_-;_-@_-</c:formatCode>
                      <c:ptCount val="5"/>
                      <c:pt idx="0">
                        <c:v>3.4971842808574225</c:v>
                      </c:pt>
                      <c:pt idx="1">
                        <c:v>4.9111965989284014</c:v>
                      </c:pt>
                      <c:pt idx="2">
                        <c:v>4.9299944818917645</c:v>
                      </c:pt>
                      <c:pt idx="3">
                        <c:v>5.3364110052157478</c:v>
                      </c:pt>
                      <c:pt idx="4">
                        <c:v>6.9432769425360048</c:v>
                      </c:pt>
                    </c:numCache>
                  </c:numRef>
                </c:val>
                <c:extLst xmlns:c15="http://schemas.microsoft.com/office/drawing/2012/chart">
                  <c:ext xmlns:c16="http://schemas.microsoft.com/office/drawing/2014/chart" uri="{C3380CC4-5D6E-409C-BE32-E72D297353CC}">
                    <c16:uniqueId val="{0000000C-E3EE-407C-B97B-C3316EEF3DCE}"/>
                  </c:ext>
                </c:extLst>
              </c15:ser>
            </c15:filteredBarSeries>
          </c:ext>
        </c:extLst>
      </c:barChart>
      <c:lineChart>
        <c:grouping val="stacked"/>
        <c:varyColors val="0"/>
        <c:ser>
          <c:idx val="12"/>
          <c:order val="12"/>
          <c:tx>
            <c:strRef>
              <c:f>Sheet1!$A$14</c:f>
              <c:strCache>
                <c:ptCount val="1"/>
                <c:pt idx="0">
                  <c:v>Debt: GDP</c:v>
                </c:pt>
              </c:strCache>
            </c:strRef>
          </c:tx>
          <c:spPr>
            <a:ln w="28575" cap="rnd">
              <a:solidFill>
                <a:srgbClr val="FFC000"/>
              </a:solidFill>
              <a:round/>
            </a:ln>
            <a:effectLst/>
          </c:spPr>
          <c:marker>
            <c:symbol val="circle"/>
            <c:size val="5"/>
            <c:spPr>
              <a:solidFill>
                <a:schemeClr val="accent1">
                  <a:lumMod val="80000"/>
                  <a:lumOff val="20000"/>
                </a:schemeClr>
              </a:solidFill>
              <a:ln w="9525">
                <a:solidFill>
                  <a:srgbClr val="FFC000"/>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badi Extra Light" panose="020B0204020104020204" pitchFamily="34" charset="0"/>
                    <a:ea typeface="+mn-ea"/>
                    <a:cs typeface="+mn-cs"/>
                  </a:defRPr>
                </a:pPr>
                <a:endParaRPr lang="en-KE"/>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5"/>
                <c:pt idx="0">
                  <c:v>14/15</c:v>
                </c:pt>
                <c:pt idx="1">
                  <c:v>15/16</c:v>
                </c:pt>
                <c:pt idx="2">
                  <c:v>16/17</c:v>
                </c:pt>
                <c:pt idx="3">
                  <c:v>17/18</c:v>
                </c:pt>
                <c:pt idx="4">
                  <c:v>18/19</c:v>
                </c:pt>
              </c:strCache>
              <c:extLst/>
            </c:strRef>
          </c:cat>
          <c:val>
            <c:numRef>
              <c:f>Sheet1!$B$14:$G$14</c:f>
              <c:numCache>
                <c:formatCode>_-* #,##0.0_-;\-* #,##0.0_-;_-* "-"??_-;_-@_-</c:formatCode>
                <c:ptCount val="5"/>
                <c:pt idx="0">
                  <c:v>41.39649182829595</c:v>
                </c:pt>
                <c:pt idx="1">
                  <c:v>45.611503577621015</c:v>
                </c:pt>
                <c:pt idx="2">
                  <c:v>48.634154199897573</c:v>
                </c:pt>
                <c:pt idx="3">
                  <c:v>51.029960939533936</c:v>
                </c:pt>
                <c:pt idx="4">
                  <c:v>54.429677753183668</c:v>
                </c:pt>
              </c:numCache>
              <c:extLst/>
            </c:numRef>
          </c:val>
          <c:smooth val="0"/>
          <c:extLst>
            <c:ext xmlns:c16="http://schemas.microsoft.com/office/drawing/2014/chart" uri="{C3380CC4-5D6E-409C-BE32-E72D297353CC}">
              <c16:uniqueId val="{00000003-E3EE-407C-B97B-C3316EEF3DCE}"/>
            </c:ext>
          </c:extLst>
        </c:ser>
        <c:dLbls>
          <c:showLegendKey val="0"/>
          <c:showVal val="0"/>
          <c:showCatName val="0"/>
          <c:showSerName val="0"/>
          <c:showPercent val="0"/>
          <c:showBubbleSize val="0"/>
        </c:dLbls>
        <c:marker val="1"/>
        <c:smooth val="0"/>
        <c:axId val="419106448"/>
        <c:axId val="419105488"/>
      </c:lineChart>
      <c:catAx>
        <c:axId val="5183202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badi Extra Light" panose="020B0204020104020204" pitchFamily="34" charset="0"/>
                    <a:ea typeface="+mn-ea"/>
                    <a:cs typeface="+mn-cs"/>
                  </a:defRPr>
                </a:pPr>
                <a:r>
                  <a:rPr lang="en-US"/>
                  <a:t>Financial 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badi Extra Light" panose="020B0204020104020204" pitchFamily="34" charset="0"/>
                  <a:ea typeface="+mn-ea"/>
                  <a:cs typeface="+mn-cs"/>
                </a:defRPr>
              </a:pPr>
              <a:endParaRPr lang="en-K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badi Extra Light" panose="020B0204020104020204" pitchFamily="34" charset="0"/>
                <a:ea typeface="+mn-ea"/>
                <a:cs typeface="+mn-cs"/>
              </a:defRPr>
            </a:pPr>
            <a:endParaRPr lang="en-KE"/>
          </a:p>
        </c:txPr>
        <c:crossAx val="518320592"/>
        <c:crosses val="autoZero"/>
        <c:auto val="1"/>
        <c:lblAlgn val="ctr"/>
        <c:lblOffset val="100"/>
        <c:noMultiLvlLbl val="0"/>
      </c:catAx>
      <c:valAx>
        <c:axId val="518320592"/>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badi Extra Light" panose="020B0204020104020204" pitchFamily="34" charset="0"/>
                    <a:ea typeface="+mn-ea"/>
                    <a:cs typeface="+mn-cs"/>
                  </a:defRPr>
                </a:pPr>
                <a:r>
                  <a:rPr lang="en-US"/>
                  <a:t>KShs in Millions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badi Extra Light" panose="020B0204020104020204" pitchFamily="34" charset="0"/>
                  <a:ea typeface="+mn-ea"/>
                  <a:cs typeface="+mn-cs"/>
                </a:defRPr>
              </a:pPr>
              <a:endParaRPr lang="en-KE"/>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badi Extra Light" panose="020B0204020104020204" pitchFamily="34" charset="0"/>
                <a:ea typeface="+mn-ea"/>
                <a:cs typeface="+mn-cs"/>
              </a:defRPr>
            </a:pPr>
            <a:endParaRPr lang="en-KE"/>
          </a:p>
        </c:txPr>
        <c:crossAx val="518320272"/>
        <c:crosses val="autoZero"/>
        <c:crossBetween val="between"/>
      </c:valAx>
      <c:valAx>
        <c:axId val="419105488"/>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badi Extra Light" panose="020B0204020104020204" pitchFamily="34" charset="0"/>
                    <a:ea typeface="+mn-ea"/>
                    <a:cs typeface="+mn-cs"/>
                  </a:defRPr>
                </a:pPr>
                <a:r>
                  <a:rPr lang="en-US"/>
                  <a:t>Percentage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badi Extra Light" panose="020B0204020104020204" pitchFamily="34" charset="0"/>
                  <a:ea typeface="+mn-ea"/>
                  <a:cs typeface="+mn-cs"/>
                </a:defRPr>
              </a:pPr>
              <a:endParaRPr lang="en-KE"/>
            </a:p>
          </c:txPr>
        </c:title>
        <c:numFmt formatCode="_-* #,##0.0_-;\-* #,##0.0_-;_-* &quot;-&quot;??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badi Extra Light" panose="020B0204020104020204" pitchFamily="34" charset="0"/>
                <a:ea typeface="+mn-ea"/>
                <a:cs typeface="+mn-cs"/>
              </a:defRPr>
            </a:pPr>
            <a:endParaRPr lang="en-KE"/>
          </a:p>
        </c:txPr>
        <c:crossAx val="419106448"/>
        <c:crosses val="max"/>
        <c:crossBetween val="between"/>
      </c:valAx>
      <c:catAx>
        <c:axId val="419106448"/>
        <c:scaling>
          <c:orientation val="minMax"/>
        </c:scaling>
        <c:delete val="1"/>
        <c:axPos val="b"/>
        <c:numFmt formatCode="General" sourceLinked="1"/>
        <c:majorTickMark val="out"/>
        <c:minorTickMark val="none"/>
        <c:tickLblPos val="nextTo"/>
        <c:crossAx val="41910548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badi Extra Light" panose="020B0204020104020204" pitchFamily="34" charset="0"/>
              <a:ea typeface="+mn-ea"/>
              <a:cs typeface="+mn-cs"/>
            </a:defRPr>
          </a:pPr>
          <a:endParaRPr lang="en-KE"/>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0">
          <a:latin typeface="Abadi Extra Light" panose="020B0204020104020204" pitchFamily="34" charset="0"/>
        </a:defRPr>
      </a:pPr>
      <a:endParaRPr lang="en-KE"/>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lang="en-US" sz="1400" b="1" strike="noStrike" spc="117">
                <a:solidFill>
                  <a:srgbClr val="0070C0"/>
                </a:solidFill>
                <a:latin typeface="Franklin Gothic Demi"/>
              </a:defRPr>
            </a:pPr>
            <a:r>
              <a:rPr lang="en-US" sz="1400" b="1" strike="noStrike" spc="117">
                <a:solidFill>
                  <a:srgbClr val="0070C0"/>
                </a:solidFill>
                <a:latin typeface="Franklin Gothic Demi"/>
              </a:rPr>
              <a:t>Health Financing Sources In Kenya</a:t>
            </a:r>
          </a:p>
        </c:rich>
      </c:tx>
      <c:overlay val="0"/>
      <c:spPr>
        <a:noFill/>
        <a:ln>
          <a:noFill/>
        </a:ln>
      </c:spPr>
    </c:title>
    <c:autoTitleDeleted val="0"/>
    <c:plotArea>
      <c:layout/>
      <c:barChart>
        <c:barDir val="col"/>
        <c:grouping val="percentStacked"/>
        <c:varyColors val="0"/>
        <c:ser>
          <c:idx val="0"/>
          <c:order val="0"/>
          <c:tx>
            <c:strRef>
              <c:f>label 0</c:f>
              <c:strCache>
                <c:ptCount val="1"/>
                <c:pt idx="0">
                  <c:v>Public (Govt)</c:v>
                </c:pt>
              </c:strCache>
            </c:strRef>
          </c:tx>
          <c:spPr>
            <a:solidFill>
              <a:srgbClr val="1F5FA0"/>
            </a:solidFill>
            <a:ln>
              <a:noFill/>
            </a:ln>
          </c:spPr>
          <c:invertIfNegative val="0"/>
          <c:dLbls>
            <c:spPr>
              <a:noFill/>
              <a:ln>
                <a:noFill/>
              </a:ln>
              <a:effectLst/>
            </c:spPr>
            <c:txPr>
              <a:bodyPr/>
              <a:lstStyle/>
              <a:p>
                <a:pPr>
                  <a:defRPr sz="900" b="0" strike="noStrike" spc="-1">
                    <a:solidFill>
                      <a:srgbClr val="FFFFFF"/>
                    </a:solidFill>
                    <a:latin typeface="Abadi Extra Light"/>
                  </a:defRPr>
                </a:pPr>
                <a:endParaRPr lang="en-KE"/>
              </a:p>
            </c:txPr>
            <c:dLblPos val="ctr"/>
            <c:showLegendKey val="0"/>
            <c:showVal val="1"/>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5"/>
                <c:pt idx="0">
                  <c:v>2001/2</c:v>
                </c:pt>
                <c:pt idx="1">
                  <c:v>2005/6</c:v>
                </c:pt>
                <c:pt idx="2">
                  <c:v>2009/10</c:v>
                </c:pt>
                <c:pt idx="3">
                  <c:v>2012/13</c:v>
                </c:pt>
                <c:pt idx="4">
                  <c:v>2015/16</c:v>
                </c:pt>
              </c:strCache>
            </c:strRef>
          </c:cat>
          <c:val>
            <c:numRef>
              <c:f>0</c:f>
              <c:numCache>
                <c:formatCode>General</c:formatCode>
                <c:ptCount val="5"/>
                <c:pt idx="0">
                  <c:v>29.5</c:v>
                </c:pt>
                <c:pt idx="1">
                  <c:v>29.3</c:v>
                </c:pt>
                <c:pt idx="2">
                  <c:v>28.8</c:v>
                </c:pt>
                <c:pt idx="3">
                  <c:v>33.5</c:v>
                </c:pt>
                <c:pt idx="4">
                  <c:v>37</c:v>
                </c:pt>
              </c:numCache>
            </c:numRef>
          </c:val>
          <c:extLst>
            <c:ext xmlns:c16="http://schemas.microsoft.com/office/drawing/2014/chart" uri="{C3380CC4-5D6E-409C-BE32-E72D297353CC}">
              <c16:uniqueId val="{00000000-AA62-48BE-B6E2-FF732D26821C}"/>
            </c:ext>
          </c:extLst>
        </c:ser>
        <c:ser>
          <c:idx val="1"/>
          <c:order val="1"/>
          <c:tx>
            <c:strRef>
              <c:f>label 1</c:f>
              <c:strCache>
                <c:ptCount val="1"/>
                <c:pt idx="0">
                  <c:v>Private (OOP)</c:v>
                </c:pt>
              </c:strCache>
            </c:strRef>
          </c:tx>
          <c:spPr>
            <a:solidFill>
              <a:srgbClr val="629DD1"/>
            </a:solidFill>
            <a:ln>
              <a:noFill/>
            </a:ln>
          </c:spPr>
          <c:invertIfNegative val="0"/>
          <c:dLbls>
            <c:spPr>
              <a:noFill/>
              <a:ln>
                <a:noFill/>
              </a:ln>
              <a:effectLst/>
            </c:spPr>
            <c:txPr>
              <a:bodyPr/>
              <a:lstStyle/>
              <a:p>
                <a:pPr>
                  <a:defRPr sz="900" b="0" strike="noStrike" spc="-1">
                    <a:solidFill>
                      <a:srgbClr val="FFFFFF"/>
                    </a:solidFill>
                    <a:latin typeface="Abadi Extra Light"/>
                  </a:defRPr>
                </a:pPr>
                <a:endParaRPr lang="en-KE"/>
              </a:p>
            </c:txPr>
            <c:dLblPos val="ctr"/>
            <c:showLegendKey val="0"/>
            <c:showVal val="1"/>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5"/>
                <c:pt idx="0">
                  <c:v>2001/2</c:v>
                </c:pt>
                <c:pt idx="1">
                  <c:v>2005/6</c:v>
                </c:pt>
                <c:pt idx="2">
                  <c:v>2009/10</c:v>
                </c:pt>
                <c:pt idx="3">
                  <c:v>2012/13</c:v>
                </c:pt>
                <c:pt idx="4">
                  <c:v>2015/16</c:v>
                </c:pt>
              </c:strCache>
            </c:strRef>
          </c:cat>
          <c:val>
            <c:numRef>
              <c:f>1</c:f>
              <c:numCache>
                <c:formatCode>General</c:formatCode>
                <c:ptCount val="5"/>
                <c:pt idx="0">
                  <c:v>54</c:v>
                </c:pt>
                <c:pt idx="1">
                  <c:v>39.299999999999997</c:v>
                </c:pt>
                <c:pt idx="2">
                  <c:v>36.700000000000003</c:v>
                </c:pt>
                <c:pt idx="3">
                  <c:v>40.6</c:v>
                </c:pt>
                <c:pt idx="4">
                  <c:v>39.6</c:v>
                </c:pt>
              </c:numCache>
            </c:numRef>
          </c:val>
          <c:extLst>
            <c:ext xmlns:c16="http://schemas.microsoft.com/office/drawing/2014/chart" uri="{C3380CC4-5D6E-409C-BE32-E72D297353CC}">
              <c16:uniqueId val="{00000001-AA62-48BE-B6E2-FF732D26821C}"/>
            </c:ext>
          </c:extLst>
        </c:ser>
        <c:ser>
          <c:idx val="2"/>
          <c:order val="2"/>
          <c:tx>
            <c:strRef>
              <c:f>label 2</c:f>
              <c:strCache>
                <c:ptCount val="1"/>
                <c:pt idx="0">
                  <c:v>Others</c:v>
                </c:pt>
              </c:strCache>
            </c:strRef>
          </c:tx>
          <c:spPr>
            <a:solidFill>
              <a:srgbClr val="FFC000"/>
            </a:solidFill>
            <a:ln>
              <a:noFill/>
            </a:ln>
          </c:spPr>
          <c:invertIfNegative val="0"/>
          <c:dLbls>
            <c:spPr>
              <a:noFill/>
              <a:ln>
                <a:noFill/>
              </a:ln>
              <a:effectLst/>
            </c:spPr>
            <c:txPr>
              <a:bodyPr/>
              <a:lstStyle/>
              <a:p>
                <a:pPr>
                  <a:defRPr sz="900" b="0" strike="noStrike" spc="-1">
                    <a:solidFill>
                      <a:srgbClr val="FFFFFF"/>
                    </a:solidFill>
                    <a:latin typeface="Abadi Extra Light"/>
                  </a:defRPr>
                </a:pPr>
                <a:endParaRPr lang="en-KE"/>
              </a:p>
            </c:txPr>
            <c:dLblPos val="ctr"/>
            <c:showLegendKey val="0"/>
            <c:showVal val="1"/>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5"/>
                <c:pt idx="0">
                  <c:v>2001/2</c:v>
                </c:pt>
                <c:pt idx="1">
                  <c:v>2005/6</c:v>
                </c:pt>
                <c:pt idx="2">
                  <c:v>2009/10</c:v>
                </c:pt>
                <c:pt idx="3">
                  <c:v>2012/13</c:v>
                </c:pt>
                <c:pt idx="4">
                  <c:v>2015/16</c:v>
                </c:pt>
              </c:strCache>
            </c:strRef>
          </c:cat>
          <c:val>
            <c:numRef>
              <c:f>2</c:f>
              <c:numCache>
                <c:formatCode>General</c:formatCode>
                <c:ptCount val="5"/>
                <c:pt idx="0">
                  <c:v>0.1</c:v>
                </c:pt>
                <c:pt idx="1">
                  <c:v>0.4</c:v>
                </c:pt>
                <c:pt idx="2">
                  <c:v>0</c:v>
                </c:pt>
                <c:pt idx="3">
                  <c:v>1.1000000000000001</c:v>
                </c:pt>
                <c:pt idx="4">
                  <c:v>0</c:v>
                </c:pt>
              </c:numCache>
            </c:numRef>
          </c:val>
          <c:extLst>
            <c:ext xmlns:c16="http://schemas.microsoft.com/office/drawing/2014/chart" uri="{C3380CC4-5D6E-409C-BE32-E72D297353CC}">
              <c16:uniqueId val="{00000002-AA62-48BE-B6E2-FF732D26821C}"/>
            </c:ext>
          </c:extLst>
        </c:ser>
        <c:ser>
          <c:idx val="3"/>
          <c:order val="3"/>
          <c:tx>
            <c:strRef>
              <c:f>label 3</c:f>
              <c:strCache>
                <c:ptCount val="1"/>
                <c:pt idx="0">
                  <c:v>Donors</c:v>
                </c:pt>
              </c:strCache>
            </c:strRef>
          </c:tx>
          <c:spPr>
            <a:solidFill>
              <a:srgbClr val="7F8FA9"/>
            </a:solidFill>
            <a:ln>
              <a:noFill/>
            </a:ln>
          </c:spPr>
          <c:invertIfNegative val="0"/>
          <c:dLbls>
            <c:spPr>
              <a:noFill/>
              <a:ln>
                <a:noFill/>
              </a:ln>
              <a:effectLst/>
            </c:spPr>
            <c:txPr>
              <a:bodyPr/>
              <a:lstStyle/>
              <a:p>
                <a:pPr>
                  <a:defRPr sz="900" b="0" strike="noStrike" spc="-1">
                    <a:solidFill>
                      <a:srgbClr val="FFFFFF"/>
                    </a:solidFill>
                    <a:latin typeface="Abadi Extra Light"/>
                  </a:defRPr>
                </a:pPr>
                <a:endParaRPr lang="en-KE"/>
              </a:p>
            </c:txPr>
            <c:dLblPos val="ctr"/>
            <c:showLegendKey val="0"/>
            <c:showVal val="1"/>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5"/>
                <c:pt idx="0">
                  <c:v>2001/2</c:v>
                </c:pt>
                <c:pt idx="1">
                  <c:v>2005/6</c:v>
                </c:pt>
                <c:pt idx="2">
                  <c:v>2009/10</c:v>
                </c:pt>
                <c:pt idx="3">
                  <c:v>2012/13</c:v>
                </c:pt>
                <c:pt idx="4">
                  <c:v>2015/16</c:v>
                </c:pt>
              </c:strCache>
            </c:strRef>
          </c:cat>
          <c:val>
            <c:numRef>
              <c:f>3</c:f>
              <c:numCache>
                <c:formatCode>General</c:formatCode>
                <c:ptCount val="5"/>
                <c:pt idx="0">
                  <c:v>16.399999999999999</c:v>
                </c:pt>
                <c:pt idx="1">
                  <c:v>31</c:v>
                </c:pt>
                <c:pt idx="2">
                  <c:v>34.5</c:v>
                </c:pt>
                <c:pt idx="3">
                  <c:v>24.7</c:v>
                </c:pt>
                <c:pt idx="4">
                  <c:v>23.4</c:v>
                </c:pt>
              </c:numCache>
            </c:numRef>
          </c:val>
          <c:extLst>
            <c:ext xmlns:c16="http://schemas.microsoft.com/office/drawing/2014/chart" uri="{C3380CC4-5D6E-409C-BE32-E72D297353CC}">
              <c16:uniqueId val="{00000003-AA62-48BE-B6E2-FF732D26821C}"/>
            </c:ext>
          </c:extLst>
        </c:ser>
        <c:dLbls>
          <c:showLegendKey val="0"/>
          <c:showVal val="0"/>
          <c:showCatName val="0"/>
          <c:showSerName val="0"/>
          <c:showPercent val="0"/>
          <c:showBubbleSize val="0"/>
        </c:dLbls>
        <c:gapWidth val="79"/>
        <c:overlap val="100"/>
        <c:axId val="79340430"/>
        <c:axId val="56057629"/>
      </c:barChart>
      <c:catAx>
        <c:axId val="79340430"/>
        <c:scaling>
          <c:orientation val="minMax"/>
        </c:scaling>
        <c:delete val="0"/>
        <c:axPos val="b"/>
        <c:title>
          <c:tx>
            <c:rich>
              <a:bodyPr rot="0"/>
              <a:lstStyle/>
              <a:p>
                <a:pPr>
                  <a:defRPr lang="en-US" sz="900" b="0" strike="noStrike" spc="-1">
                    <a:solidFill>
                      <a:srgbClr val="595959"/>
                    </a:solidFill>
                    <a:latin typeface="Abadi Extra Light"/>
                  </a:defRPr>
                </a:pPr>
                <a:r>
                  <a:rPr lang="en-US" sz="900" b="0" strike="noStrike" spc="-1">
                    <a:solidFill>
                      <a:srgbClr val="595959"/>
                    </a:solidFill>
                    <a:latin typeface="Abadi Extra Light"/>
                  </a:rPr>
                  <a:t>Financial Year</a:t>
                </a:r>
              </a:p>
            </c:rich>
          </c:tx>
          <c:overlay val="0"/>
          <c:spPr>
            <a:noFill/>
            <a:ln>
              <a:noFill/>
            </a:ln>
          </c:spPr>
        </c:title>
        <c:numFmt formatCode="General" sourceLinked="1"/>
        <c:majorTickMark val="none"/>
        <c:minorTickMark val="none"/>
        <c:tickLblPos val="nextTo"/>
        <c:spPr>
          <a:ln w="9360">
            <a:solidFill>
              <a:srgbClr val="D9D9D9"/>
            </a:solidFill>
            <a:round/>
          </a:ln>
        </c:spPr>
        <c:txPr>
          <a:bodyPr/>
          <a:lstStyle/>
          <a:p>
            <a:pPr>
              <a:defRPr sz="800" b="0" strike="noStrike" spc="117">
                <a:solidFill>
                  <a:srgbClr val="595959"/>
                </a:solidFill>
                <a:latin typeface="Abadi Extra Light"/>
              </a:defRPr>
            </a:pPr>
            <a:endParaRPr lang="en-KE"/>
          </a:p>
        </c:txPr>
        <c:crossAx val="56057629"/>
        <c:crosses val="autoZero"/>
        <c:auto val="1"/>
        <c:lblAlgn val="ctr"/>
        <c:lblOffset val="100"/>
        <c:noMultiLvlLbl val="0"/>
      </c:catAx>
      <c:valAx>
        <c:axId val="56057629"/>
        <c:scaling>
          <c:orientation val="minMax"/>
        </c:scaling>
        <c:delete val="1"/>
        <c:axPos val="l"/>
        <c:title>
          <c:tx>
            <c:rich>
              <a:bodyPr rot="-5400000"/>
              <a:lstStyle/>
              <a:p>
                <a:pPr>
                  <a:defRPr lang="en-US" sz="900" b="0" strike="noStrike" spc="-1">
                    <a:solidFill>
                      <a:srgbClr val="595959"/>
                    </a:solidFill>
                    <a:latin typeface="Abadi Extra Light"/>
                  </a:defRPr>
                </a:pPr>
                <a:r>
                  <a:rPr lang="en-US" sz="900" b="0" strike="noStrike" spc="-1">
                    <a:solidFill>
                      <a:srgbClr val="595959"/>
                    </a:solidFill>
                    <a:latin typeface="Abadi Extra Light"/>
                  </a:rPr>
                  <a:t>Percentage (%)</a:t>
                </a:r>
              </a:p>
            </c:rich>
          </c:tx>
          <c:overlay val="0"/>
          <c:spPr>
            <a:noFill/>
            <a:ln>
              <a:noFill/>
            </a:ln>
          </c:spPr>
        </c:title>
        <c:numFmt formatCode="0%" sourceLinked="0"/>
        <c:majorTickMark val="none"/>
        <c:minorTickMark val="none"/>
        <c:tickLblPos val="nextTo"/>
        <c:crossAx val="79340430"/>
        <c:crosses val="autoZero"/>
        <c:crossBetween val="between"/>
      </c:valAx>
      <c:spPr>
        <a:noFill/>
        <a:ln>
          <a:noFill/>
        </a:ln>
      </c:spPr>
    </c:plotArea>
    <c:legend>
      <c:legendPos val="t"/>
      <c:overlay val="0"/>
      <c:spPr>
        <a:noFill/>
        <a:ln>
          <a:noFill/>
        </a:ln>
      </c:spPr>
      <c:txPr>
        <a:bodyPr/>
        <a:lstStyle/>
        <a:p>
          <a:pPr>
            <a:defRPr sz="900" b="0" strike="noStrike" spc="-1">
              <a:solidFill>
                <a:srgbClr val="595959"/>
              </a:solidFill>
              <a:latin typeface="Abadi Extra Light"/>
            </a:defRPr>
          </a:pPr>
          <a:endParaRPr lang="en-KE"/>
        </a:p>
      </c:txPr>
    </c:legend>
    <c:plotVisOnly val="1"/>
    <c:dispBlanksAs val="gap"/>
    <c:showDLblsOverMax val="1"/>
  </c:chart>
  <c:spPr>
    <a:solidFill>
      <a:srgbClr val="FFFFFF"/>
    </a:solidFill>
    <a:ln w="9360">
      <a:solidFill>
        <a:srgbClr val="D9D9D9"/>
      </a:solidFill>
      <a:round/>
    </a:ln>
  </c:spPr>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lang="en-US" sz="1400" b="0" strike="noStrike" spc="-1">
                <a:solidFill>
                  <a:srgbClr val="0070C0"/>
                </a:solidFill>
                <a:latin typeface="Franklin Gothic Demi"/>
              </a:defRPr>
            </a:pPr>
            <a:r>
              <a:rPr lang="en-US" sz="1400" b="0" strike="noStrike" spc="-1">
                <a:solidFill>
                  <a:srgbClr val="0070C0"/>
                </a:solidFill>
                <a:latin typeface="Franklin Gothic Demi"/>
              </a:rPr>
              <a:t>Trends in GHE vs TGE</a:t>
            </a:r>
          </a:p>
        </c:rich>
      </c:tx>
      <c:overlay val="0"/>
      <c:spPr>
        <a:noFill/>
        <a:ln>
          <a:noFill/>
        </a:ln>
      </c:spPr>
    </c:title>
    <c:autoTitleDeleted val="0"/>
    <c:plotArea>
      <c:layout/>
      <c:barChart>
        <c:barDir val="col"/>
        <c:grouping val="clustered"/>
        <c:varyColors val="0"/>
        <c:ser>
          <c:idx val="0"/>
          <c:order val="0"/>
          <c:tx>
            <c:strRef>
              <c:f>label 0</c:f>
              <c:strCache>
                <c:ptCount val="1"/>
                <c:pt idx="0">
                  <c:v>GHE vs TGE (%)</c:v>
                </c:pt>
              </c:strCache>
            </c:strRef>
          </c:tx>
          <c:spPr>
            <a:solidFill>
              <a:srgbClr val="417B85"/>
            </a:solidFill>
            <a:ln>
              <a:noFill/>
            </a:ln>
          </c:spPr>
          <c:invertIfNegative val="0"/>
          <c:dLbls>
            <c:dLbl>
              <c:idx val="0"/>
              <c:tx>
                <c:rich>
                  <a:bodyPr/>
                  <a:lstStyle/>
                  <a:p>
                    <a:r>
                      <a:rPr lang="en-US"/>
                      <a:t>5.8</a:t>
                    </a:r>
                  </a:p>
                  <a:p>
                    <a:endParaRPr lang="en-US"/>
                  </a:p>
                </c:rich>
              </c:tx>
              <c:dLblPos val="outEnd"/>
              <c:showLegendKey val="0"/>
              <c:showVal val="1"/>
              <c:showCatName val="0"/>
              <c:showSerName val="0"/>
              <c:showPercent val="0"/>
              <c:showBubbleSize val="1"/>
              <c:separator>; </c:separator>
              <c:extLst>
                <c:ext xmlns:c15="http://schemas.microsoft.com/office/drawing/2012/chart" uri="{CE6537A1-D6FC-4f65-9D91-7224C49458BB}">
                  <c15:showDataLabelsRange val="0"/>
                </c:ext>
                <c:ext xmlns:c16="http://schemas.microsoft.com/office/drawing/2014/chart" uri="{C3380CC4-5D6E-409C-BE32-E72D297353CC}">
                  <c16:uniqueId val="{00000001-6255-42D8-9D53-74801B4BB200}"/>
                </c:ext>
              </c:extLst>
            </c:dLbl>
            <c:dLbl>
              <c:idx val="1"/>
              <c:tx>
                <c:rich>
                  <a:bodyPr/>
                  <a:lstStyle/>
                  <a:p>
                    <a:r>
                      <a:rPr lang="en-US"/>
                      <a:t>6.3</a:t>
                    </a:r>
                  </a:p>
                  <a:p>
                    <a:endParaRPr lang="en-US"/>
                  </a:p>
                </c:rich>
              </c:tx>
              <c:dLblPos val="outEnd"/>
              <c:showLegendKey val="0"/>
              <c:showVal val="1"/>
              <c:showCatName val="0"/>
              <c:showSerName val="0"/>
              <c:showPercent val="0"/>
              <c:showBubbleSize val="1"/>
              <c:separator>; </c:separator>
              <c:extLst>
                <c:ext xmlns:c15="http://schemas.microsoft.com/office/drawing/2012/chart" uri="{CE6537A1-D6FC-4f65-9D91-7224C49458BB}">
                  <c15:showDataLabelsRange val="0"/>
                </c:ext>
                <c:ext xmlns:c16="http://schemas.microsoft.com/office/drawing/2014/chart" uri="{C3380CC4-5D6E-409C-BE32-E72D297353CC}">
                  <c16:uniqueId val="{00000002-6255-42D8-9D53-74801B4BB200}"/>
                </c:ext>
              </c:extLst>
            </c:dLbl>
            <c:dLbl>
              <c:idx val="2"/>
              <c:tx>
                <c:rich>
                  <a:bodyPr/>
                  <a:lstStyle/>
                  <a:p>
                    <a:r>
                      <a:rPr lang="en-US"/>
                      <a:t>6.5</a:t>
                    </a:r>
                  </a:p>
                  <a:p>
                    <a:endParaRPr lang="en-US"/>
                  </a:p>
                </c:rich>
              </c:tx>
              <c:dLblPos val="outEnd"/>
              <c:showLegendKey val="0"/>
              <c:showVal val="1"/>
              <c:showCatName val="0"/>
              <c:showSerName val="0"/>
              <c:showPercent val="0"/>
              <c:showBubbleSize val="1"/>
              <c:separator>; </c:separator>
              <c:extLst>
                <c:ext xmlns:c15="http://schemas.microsoft.com/office/drawing/2012/chart" uri="{CE6537A1-D6FC-4f65-9D91-7224C49458BB}">
                  <c15:showDataLabelsRange val="0"/>
                </c:ext>
                <c:ext xmlns:c16="http://schemas.microsoft.com/office/drawing/2014/chart" uri="{C3380CC4-5D6E-409C-BE32-E72D297353CC}">
                  <c16:uniqueId val="{00000003-6255-42D8-9D53-74801B4BB200}"/>
                </c:ext>
              </c:extLst>
            </c:dLbl>
            <c:dLbl>
              <c:idx val="3"/>
              <c:tx>
                <c:rich>
                  <a:bodyPr/>
                  <a:lstStyle/>
                  <a:p>
                    <a:r>
                      <a:rPr lang="en-US"/>
                      <a:t>6.2</a:t>
                    </a:r>
                  </a:p>
                  <a:p>
                    <a:endParaRPr lang="en-US"/>
                  </a:p>
                </c:rich>
              </c:tx>
              <c:dLblPos val="outEnd"/>
              <c:showLegendKey val="0"/>
              <c:showVal val="1"/>
              <c:showCatName val="0"/>
              <c:showSerName val="0"/>
              <c:showPercent val="0"/>
              <c:showBubbleSize val="1"/>
              <c:separator>; </c:separator>
              <c:extLst>
                <c:ext xmlns:c15="http://schemas.microsoft.com/office/drawing/2012/chart" uri="{CE6537A1-D6FC-4f65-9D91-7224C49458BB}">
                  <c15:showDataLabelsRange val="0"/>
                </c:ext>
                <c:ext xmlns:c16="http://schemas.microsoft.com/office/drawing/2014/chart" uri="{C3380CC4-5D6E-409C-BE32-E72D297353CC}">
                  <c16:uniqueId val="{00000004-6255-42D8-9D53-74801B4BB200}"/>
                </c:ext>
              </c:extLst>
            </c:dLbl>
            <c:spPr>
              <a:noFill/>
              <a:ln>
                <a:noFill/>
              </a:ln>
              <a:effectLst/>
            </c:spPr>
            <c:txPr>
              <a:bodyPr/>
              <a:lstStyle/>
              <a:p>
                <a:pPr>
                  <a:defRPr sz="900" b="0" strike="noStrike" spc="-1">
                    <a:solidFill>
                      <a:srgbClr val="404040"/>
                    </a:solidFill>
                    <a:latin typeface="Abadi Extra Light"/>
                  </a:defRPr>
                </a:pPr>
                <a:endParaRPr lang="en-KE"/>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15/16</c:v>
                </c:pt>
                <c:pt idx="1">
                  <c:v>16/17</c:v>
                </c:pt>
                <c:pt idx="2">
                  <c:v>17/18</c:v>
                </c:pt>
                <c:pt idx="3">
                  <c:v>18/19</c:v>
                </c:pt>
              </c:strCache>
            </c:strRef>
          </c:cat>
          <c:val>
            <c:numRef>
              <c:f>0</c:f>
              <c:numCache>
                <c:formatCode>General</c:formatCode>
                <c:ptCount val="4"/>
                <c:pt idx="0">
                  <c:v>5.8026426779606499</c:v>
                </c:pt>
                <c:pt idx="1">
                  <c:v>6.3101591509479196</c:v>
                </c:pt>
                <c:pt idx="2">
                  <c:v>6.5568513213921804</c:v>
                </c:pt>
                <c:pt idx="3">
                  <c:v>6.2398202411359902</c:v>
                </c:pt>
              </c:numCache>
            </c:numRef>
          </c:val>
          <c:extLst>
            <c:ext xmlns:c16="http://schemas.microsoft.com/office/drawing/2014/chart" uri="{C3380CC4-5D6E-409C-BE32-E72D297353CC}">
              <c16:uniqueId val="{00000000-FB2B-4A81-AAC1-8DFF2C36C596}"/>
            </c:ext>
          </c:extLst>
        </c:ser>
        <c:dLbls>
          <c:showLegendKey val="0"/>
          <c:showVal val="0"/>
          <c:showCatName val="0"/>
          <c:showSerName val="0"/>
          <c:showPercent val="0"/>
          <c:showBubbleSize val="0"/>
        </c:dLbls>
        <c:gapWidth val="150"/>
        <c:axId val="20135841"/>
        <c:axId val="12501439"/>
      </c:barChart>
      <c:lineChart>
        <c:grouping val="standard"/>
        <c:varyColors val="0"/>
        <c:ser>
          <c:idx val="1"/>
          <c:order val="1"/>
          <c:tx>
            <c:strRef>
              <c:f>label 1</c:f>
              <c:strCache>
                <c:ptCount val="1"/>
                <c:pt idx="0">
                  <c:v>Abuja Threshold</c:v>
                </c:pt>
              </c:strCache>
            </c:strRef>
          </c:tx>
          <c:spPr>
            <a:ln w="28440">
              <a:solidFill>
                <a:srgbClr val="C00000"/>
              </a:solidFill>
              <a:round/>
            </a:ln>
          </c:spPr>
          <c:marker>
            <c:symbol val="none"/>
          </c:marker>
          <c:dPt>
            <c:idx val="3"/>
            <c:bubble3D val="0"/>
            <c:extLst>
              <c:ext xmlns:c16="http://schemas.microsoft.com/office/drawing/2014/chart" uri="{C3380CC4-5D6E-409C-BE32-E72D297353CC}">
                <c16:uniqueId val="{00000001-FB2B-4A81-AAC1-8DFF2C36C596}"/>
              </c:ext>
            </c:extLst>
          </c:dPt>
          <c:dLbls>
            <c:dLbl>
              <c:idx val="3"/>
              <c:spPr/>
              <c:txPr>
                <a:bodyPr/>
                <a:lstStyle/>
                <a:p>
                  <a:pPr>
                    <a:defRPr sz="1000" b="0" strike="noStrike" spc="-1">
                      <a:solidFill>
                        <a:srgbClr val="000000"/>
                      </a:solidFill>
                      <a:latin typeface="Abadi Extra Light"/>
                    </a:defRPr>
                  </a:pPr>
                  <a:endParaRPr lang="en-KE"/>
                </a:p>
              </c:txPr>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1-FB2B-4A81-AAC1-8DFF2C36C596}"/>
                </c:ext>
              </c:extLst>
            </c:dLbl>
            <c:spPr>
              <a:noFill/>
              <a:ln>
                <a:noFill/>
              </a:ln>
              <a:effectLst/>
            </c:spPr>
            <c:txPr>
              <a:bodyPr/>
              <a:lstStyle/>
              <a:p>
                <a:pPr>
                  <a:defRPr sz="900" b="0" strike="noStrike" spc="-1">
                    <a:solidFill>
                      <a:srgbClr val="404040"/>
                    </a:solidFill>
                    <a:latin typeface="Abadi Extra Light"/>
                  </a:defRPr>
                </a:pPr>
                <a:endParaRPr lang="en-KE"/>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15/16</c:v>
                </c:pt>
                <c:pt idx="1">
                  <c:v>16/17</c:v>
                </c:pt>
                <c:pt idx="2">
                  <c:v>17/18</c:v>
                </c:pt>
                <c:pt idx="3">
                  <c:v>18/19</c:v>
                </c:pt>
              </c:strCache>
            </c:strRef>
          </c:cat>
          <c:val>
            <c:numRef>
              <c:f>1</c:f>
              <c:numCache>
                <c:formatCode>General</c:formatCode>
                <c:ptCount val="4"/>
                <c:pt idx="0">
                  <c:v>15</c:v>
                </c:pt>
                <c:pt idx="1">
                  <c:v>15</c:v>
                </c:pt>
                <c:pt idx="2">
                  <c:v>15</c:v>
                </c:pt>
                <c:pt idx="3">
                  <c:v>15</c:v>
                </c:pt>
              </c:numCache>
            </c:numRef>
          </c:val>
          <c:smooth val="0"/>
          <c:extLst>
            <c:ext xmlns:c16="http://schemas.microsoft.com/office/drawing/2014/chart" uri="{C3380CC4-5D6E-409C-BE32-E72D297353CC}">
              <c16:uniqueId val="{00000002-FB2B-4A81-AAC1-8DFF2C36C596}"/>
            </c:ext>
          </c:extLst>
        </c:ser>
        <c:dLbls>
          <c:showLegendKey val="0"/>
          <c:showVal val="0"/>
          <c:showCatName val="0"/>
          <c:showSerName val="0"/>
          <c:showPercent val="0"/>
          <c:showBubbleSize val="0"/>
        </c:dLbls>
        <c:hiLowLines>
          <c:spPr>
            <a:ln>
              <a:noFill/>
            </a:ln>
          </c:spPr>
        </c:hiLowLines>
        <c:marker val="1"/>
        <c:smooth val="0"/>
        <c:axId val="20135841"/>
        <c:axId val="12501439"/>
      </c:lineChart>
      <c:catAx>
        <c:axId val="20135841"/>
        <c:scaling>
          <c:orientation val="minMax"/>
        </c:scaling>
        <c:delete val="0"/>
        <c:axPos val="b"/>
        <c:title>
          <c:tx>
            <c:rich>
              <a:bodyPr rot="0"/>
              <a:lstStyle/>
              <a:p>
                <a:pPr>
                  <a:defRPr lang="en-US" sz="1000" b="0" strike="noStrike" spc="-1">
                    <a:solidFill>
                      <a:srgbClr val="595959"/>
                    </a:solidFill>
                    <a:latin typeface="Abadi Extra Light"/>
                  </a:defRPr>
                </a:pPr>
                <a:r>
                  <a:rPr lang="en-US" sz="1000" b="0" strike="noStrike" spc="-1">
                    <a:solidFill>
                      <a:srgbClr val="595959"/>
                    </a:solidFill>
                    <a:latin typeface="Abadi Extra Light"/>
                  </a:rPr>
                  <a:t>Financial Year</a:t>
                </a:r>
              </a:p>
            </c:rich>
          </c:tx>
          <c:overlay val="0"/>
          <c:spPr>
            <a:noFill/>
            <a:ln>
              <a:noFill/>
            </a:ln>
          </c:spPr>
        </c:title>
        <c:numFmt formatCode="General" sourceLinked="1"/>
        <c:majorTickMark val="none"/>
        <c:minorTickMark val="none"/>
        <c:tickLblPos val="nextTo"/>
        <c:spPr>
          <a:ln w="9360">
            <a:solidFill>
              <a:srgbClr val="D9D9D9"/>
            </a:solidFill>
            <a:round/>
          </a:ln>
        </c:spPr>
        <c:txPr>
          <a:bodyPr/>
          <a:lstStyle/>
          <a:p>
            <a:pPr>
              <a:defRPr sz="900" b="0" strike="noStrike" spc="-1">
                <a:solidFill>
                  <a:srgbClr val="595959"/>
                </a:solidFill>
                <a:latin typeface="Abadi Extra Light"/>
              </a:defRPr>
            </a:pPr>
            <a:endParaRPr lang="en-KE"/>
          </a:p>
        </c:txPr>
        <c:crossAx val="12501439"/>
        <c:crosses val="autoZero"/>
        <c:auto val="1"/>
        <c:lblAlgn val="ctr"/>
        <c:lblOffset val="100"/>
        <c:noMultiLvlLbl val="0"/>
      </c:catAx>
      <c:valAx>
        <c:axId val="12501439"/>
        <c:scaling>
          <c:orientation val="minMax"/>
        </c:scaling>
        <c:delete val="0"/>
        <c:axPos val="l"/>
        <c:title>
          <c:tx>
            <c:rich>
              <a:bodyPr rot="-5400000"/>
              <a:lstStyle/>
              <a:p>
                <a:pPr>
                  <a:defRPr lang="en-US" sz="1000" b="0" strike="noStrike" spc="-1">
                    <a:solidFill>
                      <a:srgbClr val="595959"/>
                    </a:solidFill>
                    <a:latin typeface="Abadi Extra Light"/>
                  </a:defRPr>
                </a:pPr>
                <a:r>
                  <a:rPr lang="en-US" sz="1000" b="0" strike="noStrike" spc="-1">
                    <a:solidFill>
                      <a:srgbClr val="595959"/>
                    </a:solidFill>
                    <a:latin typeface="Abadi Extra Light"/>
                  </a:rPr>
                  <a:t>Percentage (%)</a:t>
                </a:r>
              </a:p>
            </c:rich>
          </c:tx>
          <c:overlay val="0"/>
          <c:spPr>
            <a:noFill/>
            <a:ln>
              <a:noFill/>
            </a:ln>
          </c:spPr>
        </c:title>
        <c:numFmt formatCode="0.00" sourceLinked="0"/>
        <c:majorTickMark val="out"/>
        <c:minorTickMark val="none"/>
        <c:tickLblPos val="nextTo"/>
        <c:spPr>
          <a:ln w="9360">
            <a:noFill/>
          </a:ln>
        </c:spPr>
        <c:txPr>
          <a:bodyPr/>
          <a:lstStyle/>
          <a:p>
            <a:pPr>
              <a:defRPr sz="900" b="0" strike="noStrike" spc="-1">
                <a:solidFill>
                  <a:srgbClr val="595959"/>
                </a:solidFill>
                <a:latin typeface="Abadi Extra Light"/>
              </a:defRPr>
            </a:pPr>
            <a:endParaRPr lang="en-KE"/>
          </a:p>
        </c:txPr>
        <c:crossAx val="20135841"/>
        <c:crosses val="autoZero"/>
        <c:crossBetween val="between"/>
      </c:valAx>
      <c:spPr>
        <a:noFill/>
        <a:ln>
          <a:noFill/>
        </a:ln>
      </c:spPr>
    </c:plotArea>
    <c:legend>
      <c:legendPos val="r"/>
      <c:overlay val="0"/>
      <c:spPr>
        <a:noFill/>
        <a:ln>
          <a:noFill/>
        </a:ln>
      </c:spPr>
      <c:txPr>
        <a:bodyPr/>
        <a:lstStyle/>
        <a:p>
          <a:pPr>
            <a:defRPr sz="900" b="0" strike="noStrike" spc="-1">
              <a:solidFill>
                <a:srgbClr val="595959"/>
              </a:solidFill>
              <a:latin typeface="Abadi Extra Light"/>
            </a:defRPr>
          </a:pPr>
          <a:endParaRPr lang="en-KE"/>
        </a:p>
      </c:txPr>
    </c:legend>
    <c:plotVisOnly val="1"/>
    <c:dispBlanksAs val="gap"/>
    <c:showDLblsOverMax val="1"/>
  </c:chart>
  <c:spPr>
    <a:solidFill>
      <a:srgbClr val="FFFFFF"/>
    </a:solidFill>
    <a:ln w="9360">
      <a:solidFill>
        <a:srgbClr val="D9D9D9"/>
      </a:solidFill>
      <a:round/>
    </a:ln>
  </c:spPr>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lang="en-US" sz="1200" b="0" strike="noStrike" spc="-1">
                <a:solidFill>
                  <a:srgbClr val="0070C0"/>
                </a:solidFill>
                <a:latin typeface="Franklin Gothic Demi"/>
              </a:defRPr>
            </a:pPr>
            <a:r>
              <a:rPr lang="en-US" sz="1200" b="0" strike="noStrike" spc="-1">
                <a:solidFill>
                  <a:srgbClr val="0070C0"/>
                </a:solidFill>
                <a:latin typeface="Franklin Gothic Demi"/>
              </a:rPr>
              <a:t>MOH Budget Absorption Rates</a:t>
            </a:r>
          </a:p>
        </c:rich>
      </c:tx>
      <c:overlay val="0"/>
      <c:spPr>
        <a:noFill/>
        <a:ln>
          <a:noFill/>
        </a:ln>
      </c:spPr>
    </c:title>
    <c:autoTitleDeleted val="0"/>
    <c:plotArea>
      <c:layout/>
      <c:barChart>
        <c:barDir val="col"/>
        <c:grouping val="clustered"/>
        <c:varyColors val="0"/>
        <c:ser>
          <c:idx val="0"/>
          <c:order val="0"/>
          <c:tx>
            <c:strRef>
              <c:f>label 0</c:f>
              <c:strCache>
                <c:ptCount val="1"/>
                <c:pt idx="0">
                  <c:v>Recurrent- Absortion Rate (%)</c:v>
                </c:pt>
              </c:strCache>
            </c:strRef>
          </c:tx>
          <c:spPr>
            <a:solidFill>
              <a:srgbClr val="BDDADF"/>
            </a:solidFill>
            <a:ln>
              <a:noFill/>
            </a:ln>
          </c:spPr>
          <c:invertIfNegative val="0"/>
          <c:dLbls>
            <c:dLbl>
              <c:idx val="0"/>
              <c:tx>
                <c:rich>
                  <a:bodyPr/>
                  <a:lstStyle/>
                  <a:p>
                    <a:r>
                      <a:rPr lang="en-US"/>
                      <a:t>81.8</a:t>
                    </a:r>
                  </a:p>
                  <a:p>
                    <a:endParaRPr lang="en-US"/>
                  </a:p>
                </c:rich>
              </c:tx>
              <c:dLblPos val="ctr"/>
              <c:showLegendKey val="0"/>
              <c:showVal val="1"/>
              <c:showCatName val="0"/>
              <c:showSerName val="0"/>
              <c:showPercent val="0"/>
              <c:showBubbleSize val="1"/>
              <c:separator>; </c:separator>
              <c:extLst>
                <c:ext xmlns:c15="http://schemas.microsoft.com/office/drawing/2012/chart" uri="{CE6537A1-D6FC-4f65-9D91-7224C49458BB}">
                  <c15:showDataLabelsRange val="0"/>
                </c:ext>
                <c:ext xmlns:c16="http://schemas.microsoft.com/office/drawing/2014/chart" uri="{C3380CC4-5D6E-409C-BE32-E72D297353CC}">
                  <c16:uniqueId val="{00000006-4C14-47AE-8EAD-9E1EED2B59F2}"/>
                </c:ext>
              </c:extLst>
            </c:dLbl>
            <c:dLbl>
              <c:idx val="1"/>
              <c:tx>
                <c:rich>
                  <a:bodyPr/>
                  <a:lstStyle/>
                  <a:p>
                    <a:r>
                      <a:rPr lang="en-US"/>
                      <a:t>85.8</a:t>
                    </a:r>
                  </a:p>
                </c:rich>
              </c:tx>
              <c:dLblPos val="ctr"/>
              <c:showLegendKey val="0"/>
              <c:showVal val="1"/>
              <c:showCatName val="0"/>
              <c:showSerName val="0"/>
              <c:showPercent val="0"/>
              <c:showBubbleSize val="1"/>
              <c:separator>; </c:separator>
              <c:extLst>
                <c:ext xmlns:c15="http://schemas.microsoft.com/office/drawing/2012/chart" uri="{CE6537A1-D6FC-4f65-9D91-7224C49458BB}">
                  <c15:showDataLabelsRange val="0"/>
                </c:ext>
                <c:ext xmlns:c16="http://schemas.microsoft.com/office/drawing/2014/chart" uri="{C3380CC4-5D6E-409C-BE32-E72D297353CC}">
                  <c16:uniqueId val="{00000007-4C14-47AE-8EAD-9E1EED2B59F2}"/>
                </c:ext>
              </c:extLst>
            </c:dLbl>
            <c:dLbl>
              <c:idx val="2"/>
              <c:tx>
                <c:rich>
                  <a:bodyPr/>
                  <a:lstStyle/>
                  <a:p>
                    <a:r>
                      <a:rPr lang="en-US"/>
                      <a:t>85.7</a:t>
                    </a:r>
                  </a:p>
                  <a:p>
                    <a:endParaRPr lang="en-US"/>
                  </a:p>
                </c:rich>
              </c:tx>
              <c:dLblPos val="ctr"/>
              <c:showLegendKey val="0"/>
              <c:showVal val="1"/>
              <c:showCatName val="0"/>
              <c:showSerName val="0"/>
              <c:showPercent val="0"/>
              <c:showBubbleSize val="1"/>
              <c:separator>; </c:separator>
              <c:extLst>
                <c:ext xmlns:c15="http://schemas.microsoft.com/office/drawing/2012/chart" uri="{CE6537A1-D6FC-4f65-9D91-7224C49458BB}">
                  <c15:showDataLabelsRange val="0"/>
                </c:ext>
                <c:ext xmlns:c16="http://schemas.microsoft.com/office/drawing/2014/chart" uri="{C3380CC4-5D6E-409C-BE32-E72D297353CC}">
                  <c16:uniqueId val="{00000008-4C14-47AE-8EAD-9E1EED2B59F2}"/>
                </c:ext>
              </c:extLst>
            </c:dLbl>
            <c:dLbl>
              <c:idx val="3"/>
              <c:tx>
                <c:rich>
                  <a:bodyPr/>
                  <a:lstStyle/>
                  <a:p>
                    <a:r>
                      <a:rPr lang="en-US"/>
                      <a:t>69.0</a:t>
                    </a:r>
                  </a:p>
                </c:rich>
              </c:tx>
              <c:dLblPos val="ctr"/>
              <c:showLegendKey val="0"/>
              <c:showVal val="1"/>
              <c:showCatName val="0"/>
              <c:showSerName val="0"/>
              <c:showPercent val="0"/>
              <c:showBubbleSize val="1"/>
              <c:separator>; </c:separator>
              <c:extLst>
                <c:ext xmlns:c15="http://schemas.microsoft.com/office/drawing/2012/chart" uri="{CE6537A1-D6FC-4f65-9D91-7224C49458BB}">
                  <c15:showDataLabelsRange val="0"/>
                </c:ext>
                <c:ext xmlns:c16="http://schemas.microsoft.com/office/drawing/2014/chart" uri="{C3380CC4-5D6E-409C-BE32-E72D297353CC}">
                  <c16:uniqueId val="{00000009-4C14-47AE-8EAD-9E1EED2B59F2}"/>
                </c:ext>
              </c:extLst>
            </c:dLbl>
            <c:dLbl>
              <c:idx val="4"/>
              <c:tx>
                <c:rich>
                  <a:bodyPr/>
                  <a:lstStyle/>
                  <a:p>
                    <a:r>
                      <a:rPr lang="en-US"/>
                      <a:t>91.6</a:t>
                    </a:r>
                  </a:p>
                  <a:p>
                    <a:endParaRPr lang="en-US"/>
                  </a:p>
                </c:rich>
              </c:tx>
              <c:dLblPos val="ctr"/>
              <c:showLegendKey val="0"/>
              <c:showVal val="1"/>
              <c:showCatName val="0"/>
              <c:showSerName val="0"/>
              <c:showPercent val="0"/>
              <c:showBubbleSize val="1"/>
              <c:separator>; </c:separator>
              <c:extLst>
                <c:ext xmlns:c15="http://schemas.microsoft.com/office/drawing/2012/chart" uri="{CE6537A1-D6FC-4f65-9D91-7224C49458BB}">
                  <c15:showDataLabelsRange val="0"/>
                </c:ext>
                <c:ext xmlns:c16="http://schemas.microsoft.com/office/drawing/2014/chart" uri="{C3380CC4-5D6E-409C-BE32-E72D297353CC}">
                  <c16:uniqueId val="{0000000A-4C14-47AE-8EAD-9E1EED2B59F2}"/>
                </c:ext>
              </c:extLst>
            </c:dLbl>
            <c:dLbl>
              <c:idx val="5"/>
              <c:tx>
                <c:rich>
                  <a:bodyPr/>
                  <a:lstStyle/>
                  <a:p>
                    <a:r>
                      <a:rPr lang="en-US"/>
                      <a:t>93.8</a:t>
                    </a:r>
                  </a:p>
                  <a:p>
                    <a:endParaRPr lang="en-US"/>
                  </a:p>
                </c:rich>
              </c:tx>
              <c:dLblPos val="ctr"/>
              <c:showLegendKey val="0"/>
              <c:showVal val="1"/>
              <c:showCatName val="0"/>
              <c:showSerName val="0"/>
              <c:showPercent val="0"/>
              <c:showBubbleSize val="1"/>
              <c:separator>; </c:separator>
              <c:extLst>
                <c:ext xmlns:c15="http://schemas.microsoft.com/office/drawing/2012/chart" uri="{CE6537A1-D6FC-4f65-9D91-7224C49458BB}">
                  <c15:showDataLabelsRange val="0"/>
                </c:ext>
                <c:ext xmlns:c16="http://schemas.microsoft.com/office/drawing/2014/chart" uri="{C3380CC4-5D6E-409C-BE32-E72D297353CC}">
                  <c16:uniqueId val="{0000000B-4C14-47AE-8EAD-9E1EED2B59F2}"/>
                </c:ext>
              </c:extLst>
            </c:dLbl>
            <c:spPr>
              <a:noFill/>
              <a:ln>
                <a:noFill/>
              </a:ln>
              <a:effectLst/>
            </c:spPr>
            <c:txPr>
              <a:bodyPr/>
              <a:lstStyle/>
              <a:p>
                <a:pPr>
                  <a:defRPr sz="900" b="0" strike="noStrike" spc="-1">
                    <a:solidFill>
                      <a:srgbClr val="000000"/>
                    </a:solidFill>
                    <a:latin typeface="Abadi Extra Light"/>
                  </a:defRPr>
                </a:pPr>
                <a:endParaRPr lang="en-KE"/>
              </a:p>
            </c:txPr>
            <c:dLblPos val="ctr"/>
            <c:showLegendKey val="0"/>
            <c:showVal val="1"/>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6"/>
                <c:pt idx="0">
                  <c:v>14/15</c:v>
                </c:pt>
                <c:pt idx="1">
                  <c:v>15/16</c:v>
                </c:pt>
                <c:pt idx="2">
                  <c:v>16/17</c:v>
                </c:pt>
                <c:pt idx="3">
                  <c:v>17/18</c:v>
                </c:pt>
                <c:pt idx="4">
                  <c:v>18/19</c:v>
                </c:pt>
                <c:pt idx="5">
                  <c:v>19/20</c:v>
                </c:pt>
              </c:strCache>
            </c:strRef>
          </c:cat>
          <c:val>
            <c:numRef>
              <c:f>0</c:f>
              <c:numCache>
                <c:formatCode>General</c:formatCode>
                <c:ptCount val="6"/>
                <c:pt idx="0">
                  <c:v>81.793636146143101</c:v>
                </c:pt>
                <c:pt idx="1">
                  <c:v>85.795026375282603</c:v>
                </c:pt>
                <c:pt idx="2">
                  <c:v>85.726278087136606</c:v>
                </c:pt>
                <c:pt idx="3">
                  <c:v>68.958618296143598</c:v>
                </c:pt>
                <c:pt idx="4">
                  <c:v>91.6408203161714</c:v>
                </c:pt>
                <c:pt idx="5">
                  <c:v>93.847326438624407</c:v>
                </c:pt>
              </c:numCache>
            </c:numRef>
          </c:val>
          <c:extLst>
            <c:ext xmlns:c16="http://schemas.microsoft.com/office/drawing/2014/chart" uri="{C3380CC4-5D6E-409C-BE32-E72D297353CC}">
              <c16:uniqueId val="{00000000-FD8B-4EF5-9636-6F29961738DC}"/>
            </c:ext>
          </c:extLst>
        </c:ser>
        <c:ser>
          <c:idx val="1"/>
          <c:order val="1"/>
          <c:tx>
            <c:strRef>
              <c:f>label 1</c:f>
              <c:strCache>
                <c:ptCount val="1"/>
                <c:pt idx="0">
                  <c:v>Development- Absortion Rate (%)</c:v>
                </c:pt>
              </c:strCache>
            </c:strRef>
          </c:tx>
          <c:spPr>
            <a:solidFill>
              <a:srgbClr val="417B85"/>
            </a:solidFill>
            <a:ln>
              <a:noFill/>
            </a:ln>
          </c:spPr>
          <c:invertIfNegative val="0"/>
          <c:dLbls>
            <c:dLbl>
              <c:idx val="0"/>
              <c:tx>
                <c:rich>
                  <a:bodyPr/>
                  <a:lstStyle/>
                  <a:p>
                    <a:r>
                      <a:rPr lang="en-US"/>
                      <a:t>52.8</a:t>
                    </a:r>
                  </a:p>
                </c:rich>
              </c:tx>
              <c:dLblPos val="inBase"/>
              <c:showLegendKey val="0"/>
              <c:showVal val="1"/>
              <c:showCatName val="0"/>
              <c:showSerName val="0"/>
              <c:showPercent val="0"/>
              <c:showBubbleSize val="1"/>
              <c:separator>; </c:separator>
              <c:extLst>
                <c:ext xmlns:c15="http://schemas.microsoft.com/office/drawing/2012/chart" uri="{CE6537A1-D6FC-4f65-9D91-7224C49458BB}">
                  <c15:showDataLabelsRange val="0"/>
                </c:ext>
                <c:ext xmlns:c16="http://schemas.microsoft.com/office/drawing/2014/chart" uri="{C3380CC4-5D6E-409C-BE32-E72D297353CC}">
                  <c16:uniqueId val="{0000000C-4C14-47AE-8EAD-9E1EED2B59F2}"/>
                </c:ext>
              </c:extLst>
            </c:dLbl>
            <c:dLbl>
              <c:idx val="1"/>
              <c:tx>
                <c:rich>
                  <a:bodyPr/>
                  <a:lstStyle/>
                  <a:p>
                    <a:r>
                      <a:rPr lang="en-US"/>
                      <a:t>52.4</a:t>
                    </a:r>
                  </a:p>
                  <a:p>
                    <a:endParaRPr lang="en-US"/>
                  </a:p>
                </c:rich>
              </c:tx>
              <c:dLblPos val="inBase"/>
              <c:showLegendKey val="0"/>
              <c:showVal val="1"/>
              <c:showCatName val="0"/>
              <c:showSerName val="0"/>
              <c:showPercent val="0"/>
              <c:showBubbleSize val="1"/>
              <c:separator>; </c:separator>
              <c:extLst>
                <c:ext xmlns:c15="http://schemas.microsoft.com/office/drawing/2012/chart" uri="{CE6537A1-D6FC-4f65-9D91-7224C49458BB}">
                  <c15:showDataLabelsRange val="0"/>
                </c:ext>
                <c:ext xmlns:c16="http://schemas.microsoft.com/office/drawing/2014/chart" uri="{C3380CC4-5D6E-409C-BE32-E72D297353CC}">
                  <c16:uniqueId val="{0000000D-4C14-47AE-8EAD-9E1EED2B59F2}"/>
                </c:ext>
              </c:extLst>
            </c:dLbl>
            <c:dLbl>
              <c:idx val="2"/>
              <c:tx>
                <c:rich>
                  <a:bodyPr/>
                  <a:lstStyle/>
                  <a:p>
                    <a:r>
                      <a:rPr lang="en-US"/>
                      <a:t>75.2</a:t>
                    </a:r>
                  </a:p>
                  <a:p>
                    <a:endParaRPr lang="en-US"/>
                  </a:p>
                </c:rich>
              </c:tx>
              <c:dLblPos val="inBase"/>
              <c:showLegendKey val="0"/>
              <c:showVal val="1"/>
              <c:showCatName val="0"/>
              <c:showSerName val="0"/>
              <c:showPercent val="0"/>
              <c:showBubbleSize val="1"/>
              <c:separator>; </c:separator>
              <c:extLst>
                <c:ext xmlns:c15="http://schemas.microsoft.com/office/drawing/2012/chart" uri="{CE6537A1-D6FC-4f65-9D91-7224C49458BB}">
                  <c15:showDataLabelsRange val="0"/>
                </c:ext>
                <c:ext xmlns:c16="http://schemas.microsoft.com/office/drawing/2014/chart" uri="{C3380CC4-5D6E-409C-BE32-E72D297353CC}">
                  <c16:uniqueId val="{0000000E-4C14-47AE-8EAD-9E1EED2B59F2}"/>
                </c:ext>
              </c:extLst>
            </c:dLbl>
            <c:dLbl>
              <c:idx val="3"/>
              <c:tx>
                <c:rich>
                  <a:bodyPr/>
                  <a:lstStyle/>
                  <a:p>
                    <a:r>
                      <a:rPr lang="en-US"/>
                      <a:t>71.0</a:t>
                    </a:r>
                  </a:p>
                  <a:p>
                    <a:endParaRPr lang="en-US"/>
                  </a:p>
                </c:rich>
              </c:tx>
              <c:dLblPos val="inBase"/>
              <c:showLegendKey val="0"/>
              <c:showVal val="1"/>
              <c:showCatName val="0"/>
              <c:showSerName val="0"/>
              <c:showPercent val="0"/>
              <c:showBubbleSize val="1"/>
              <c:separator>; </c:separator>
              <c:extLst>
                <c:ext xmlns:c15="http://schemas.microsoft.com/office/drawing/2012/chart" uri="{CE6537A1-D6FC-4f65-9D91-7224C49458BB}">
                  <c15:showDataLabelsRange val="0"/>
                </c:ext>
                <c:ext xmlns:c16="http://schemas.microsoft.com/office/drawing/2014/chart" uri="{C3380CC4-5D6E-409C-BE32-E72D297353CC}">
                  <c16:uniqueId val="{0000000F-4C14-47AE-8EAD-9E1EED2B59F2}"/>
                </c:ext>
              </c:extLst>
            </c:dLbl>
            <c:dLbl>
              <c:idx val="4"/>
              <c:tx>
                <c:rich>
                  <a:bodyPr/>
                  <a:lstStyle/>
                  <a:p>
                    <a:r>
                      <a:rPr lang="en-US"/>
                      <a:t>80.7</a:t>
                    </a:r>
                  </a:p>
                  <a:p>
                    <a:endParaRPr lang="en-US"/>
                  </a:p>
                </c:rich>
              </c:tx>
              <c:dLblPos val="inBase"/>
              <c:showLegendKey val="0"/>
              <c:showVal val="1"/>
              <c:showCatName val="0"/>
              <c:showSerName val="0"/>
              <c:showPercent val="0"/>
              <c:showBubbleSize val="1"/>
              <c:separator>; </c:separator>
              <c:extLst>
                <c:ext xmlns:c15="http://schemas.microsoft.com/office/drawing/2012/chart" uri="{CE6537A1-D6FC-4f65-9D91-7224C49458BB}">
                  <c15:showDataLabelsRange val="0"/>
                </c:ext>
                <c:ext xmlns:c16="http://schemas.microsoft.com/office/drawing/2014/chart" uri="{C3380CC4-5D6E-409C-BE32-E72D297353CC}">
                  <c16:uniqueId val="{00000010-4C14-47AE-8EAD-9E1EED2B59F2}"/>
                </c:ext>
              </c:extLst>
            </c:dLbl>
            <c:dLbl>
              <c:idx val="5"/>
              <c:tx>
                <c:rich>
                  <a:bodyPr/>
                  <a:lstStyle/>
                  <a:p>
                    <a:r>
                      <a:rPr lang="en-US"/>
                      <a:t>89.3</a:t>
                    </a:r>
                  </a:p>
                  <a:p>
                    <a:endParaRPr lang="en-US"/>
                  </a:p>
                  <a:p>
                    <a:endParaRPr lang="en-US"/>
                  </a:p>
                </c:rich>
              </c:tx>
              <c:dLblPos val="inBase"/>
              <c:showLegendKey val="0"/>
              <c:showVal val="1"/>
              <c:showCatName val="0"/>
              <c:showSerName val="0"/>
              <c:showPercent val="0"/>
              <c:showBubbleSize val="1"/>
              <c:separator>; </c:separator>
              <c:extLst>
                <c:ext xmlns:c15="http://schemas.microsoft.com/office/drawing/2012/chart" uri="{CE6537A1-D6FC-4f65-9D91-7224C49458BB}">
                  <c15:showDataLabelsRange val="0"/>
                </c:ext>
                <c:ext xmlns:c16="http://schemas.microsoft.com/office/drawing/2014/chart" uri="{C3380CC4-5D6E-409C-BE32-E72D297353CC}">
                  <c16:uniqueId val="{00000011-4C14-47AE-8EAD-9E1EED2B59F2}"/>
                </c:ext>
              </c:extLst>
            </c:dLbl>
            <c:spPr>
              <a:noFill/>
              <a:ln>
                <a:noFill/>
              </a:ln>
              <a:effectLst/>
            </c:spPr>
            <c:txPr>
              <a:bodyPr/>
              <a:lstStyle/>
              <a:p>
                <a:pPr>
                  <a:defRPr sz="900" b="0" strike="noStrike" spc="-1">
                    <a:solidFill>
                      <a:srgbClr val="000000"/>
                    </a:solidFill>
                    <a:latin typeface="Abadi Extra Light"/>
                  </a:defRPr>
                </a:pPr>
                <a:endParaRPr lang="en-KE"/>
              </a:p>
            </c:txPr>
            <c:dLblPos val="inBase"/>
            <c:showLegendKey val="0"/>
            <c:showVal val="1"/>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6"/>
                <c:pt idx="0">
                  <c:v>14/15</c:v>
                </c:pt>
                <c:pt idx="1">
                  <c:v>15/16</c:v>
                </c:pt>
                <c:pt idx="2">
                  <c:v>16/17</c:v>
                </c:pt>
                <c:pt idx="3">
                  <c:v>17/18</c:v>
                </c:pt>
                <c:pt idx="4">
                  <c:v>18/19</c:v>
                </c:pt>
                <c:pt idx="5">
                  <c:v>19/20</c:v>
                </c:pt>
              </c:strCache>
            </c:strRef>
          </c:cat>
          <c:val>
            <c:numRef>
              <c:f>1</c:f>
              <c:numCache>
                <c:formatCode>General</c:formatCode>
                <c:ptCount val="6"/>
                <c:pt idx="0">
                  <c:v>52.780907920154498</c:v>
                </c:pt>
                <c:pt idx="1">
                  <c:v>52.401524777636602</c:v>
                </c:pt>
                <c:pt idx="2">
                  <c:v>75.179987113763104</c:v>
                </c:pt>
                <c:pt idx="3">
                  <c:v>70.919982301487394</c:v>
                </c:pt>
                <c:pt idx="4">
                  <c:v>80.712519174780098</c:v>
                </c:pt>
                <c:pt idx="5">
                  <c:v>89.353272569046894</c:v>
                </c:pt>
              </c:numCache>
            </c:numRef>
          </c:val>
          <c:extLst>
            <c:ext xmlns:c16="http://schemas.microsoft.com/office/drawing/2014/chart" uri="{C3380CC4-5D6E-409C-BE32-E72D297353CC}">
              <c16:uniqueId val="{00000001-FD8B-4EF5-9636-6F29961738DC}"/>
            </c:ext>
          </c:extLst>
        </c:ser>
        <c:dLbls>
          <c:showLegendKey val="0"/>
          <c:showVal val="0"/>
          <c:showCatName val="0"/>
          <c:showSerName val="0"/>
          <c:showPercent val="0"/>
          <c:showBubbleSize val="0"/>
        </c:dLbls>
        <c:gapWidth val="150"/>
        <c:axId val="53538261"/>
        <c:axId val="69664275"/>
      </c:barChart>
      <c:lineChart>
        <c:grouping val="standard"/>
        <c:varyColors val="0"/>
        <c:ser>
          <c:idx val="2"/>
          <c:order val="2"/>
          <c:tx>
            <c:strRef>
              <c:f>label 2</c:f>
              <c:strCache>
                <c:ptCount val="1"/>
                <c:pt idx="0">
                  <c:v>Average Absorption Rate (%)</c:v>
                </c:pt>
              </c:strCache>
            </c:strRef>
          </c:tx>
          <c:spPr>
            <a:ln w="28440">
              <a:solidFill>
                <a:srgbClr val="2A5F8E"/>
              </a:solidFill>
              <a:round/>
            </a:ln>
          </c:spPr>
          <c:marker>
            <c:symbol val="circle"/>
            <c:size val="5"/>
            <c:spPr>
              <a:solidFill>
                <a:schemeClr val="accent4"/>
              </a:solidFill>
              <a:ln>
                <a:solidFill>
                  <a:schemeClr val="accent6">
                    <a:lumMod val="75000"/>
                  </a:schemeClr>
                </a:solidFill>
              </a:ln>
            </c:spPr>
          </c:marker>
          <c:dLbls>
            <c:dLbl>
              <c:idx val="0"/>
              <c:tx>
                <c:rich>
                  <a:bodyPr/>
                  <a:lstStyle/>
                  <a:p>
                    <a:r>
                      <a:rPr lang="en-US"/>
                      <a:t>67.3</a:t>
                    </a:r>
                  </a:p>
                </c:rich>
              </c:tx>
              <c:dLblPos val="t"/>
              <c:showLegendKey val="0"/>
              <c:showVal val="1"/>
              <c:showCatName val="0"/>
              <c:showSerName val="0"/>
              <c:showPercent val="0"/>
              <c:showBubbleSize val="1"/>
              <c:separator>; </c:separator>
              <c:extLst>
                <c:ext xmlns:c15="http://schemas.microsoft.com/office/drawing/2012/chart" uri="{CE6537A1-D6FC-4f65-9D91-7224C49458BB}">
                  <c15:showDataLabelsRange val="0"/>
                </c:ext>
                <c:ext xmlns:c16="http://schemas.microsoft.com/office/drawing/2014/chart" uri="{C3380CC4-5D6E-409C-BE32-E72D297353CC}">
                  <c16:uniqueId val="{00000000-4C14-47AE-8EAD-9E1EED2B59F2}"/>
                </c:ext>
              </c:extLst>
            </c:dLbl>
            <c:dLbl>
              <c:idx val="1"/>
              <c:tx>
                <c:rich>
                  <a:bodyPr/>
                  <a:lstStyle/>
                  <a:p>
                    <a:r>
                      <a:rPr lang="en-US"/>
                      <a:t>69.1</a:t>
                    </a:r>
                  </a:p>
                  <a:p>
                    <a:endParaRPr lang="en-US"/>
                  </a:p>
                </c:rich>
              </c:tx>
              <c:dLblPos val="t"/>
              <c:showLegendKey val="0"/>
              <c:showVal val="1"/>
              <c:showCatName val="0"/>
              <c:showSerName val="0"/>
              <c:showPercent val="0"/>
              <c:showBubbleSize val="1"/>
              <c:separator>; </c:separator>
              <c:extLst>
                <c:ext xmlns:c15="http://schemas.microsoft.com/office/drawing/2012/chart" uri="{CE6537A1-D6FC-4f65-9D91-7224C49458BB}">
                  <c15:showDataLabelsRange val="0"/>
                </c:ext>
                <c:ext xmlns:c16="http://schemas.microsoft.com/office/drawing/2014/chart" uri="{C3380CC4-5D6E-409C-BE32-E72D297353CC}">
                  <c16:uniqueId val="{00000001-4C14-47AE-8EAD-9E1EED2B59F2}"/>
                </c:ext>
              </c:extLst>
            </c:dLbl>
            <c:dLbl>
              <c:idx val="2"/>
              <c:tx>
                <c:rich>
                  <a:bodyPr/>
                  <a:lstStyle/>
                  <a:p>
                    <a:r>
                      <a:rPr lang="en-US"/>
                      <a:t>80.0</a:t>
                    </a:r>
                  </a:p>
                </c:rich>
              </c:tx>
              <c:dLblPos val="t"/>
              <c:showLegendKey val="0"/>
              <c:showVal val="1"/>
              <c:showCatName val="0"/>
              <c:showSerName val="0"/>
              <c:showPercent val="0"/>
              <c:showBubbleSize val="1"/>
              <c:separator>; </c:separator>
              <c:extLst>
                <c:ext xmlns:c15="http://schemas.microsoft.com/office/drawing/2012/chart" uri="{CE6537A1-D6FC-4f65-9D91-7224C49458BB}">
                  <c15:showDataLabelsRange val="0"/>
                </c:ext>
                <c:ext xmlns:c16="http://schemas.microsoft.com/office/drawing/2014/chart" uri="{C3380CC4-5D6E-409C-BE32-E72D297353CC}">
                  <c16:uniqueId val="{00000002-4C14-47AE-8EAD-9E1EED2B59F2}"/>
                </c:ext>
              </c:extLst>
            </c:dLbl>
            <c:dLbl>
              <c:idx val="3"/>
              <c:tx>
                <c:rich>
                  <a:bodyPr/>
                  <a:lstStyle/>
                  <a:p>
                    <a:r>
                      <a:rPr lang="en-US"/>
                      <a:t>69.9</a:t>
                    </a:r>
                  </a:p>
                  <a:p>
                    <a:endParaRPr lang="en-US"/>
                  </a:p>
                </c:rich>
              </c:tx>
              <c:dLblPos val="t"/>
              <c:showLegendKey val="0"/>
              <c:showVal val="1"/>
              <c:showCatName val="0"/>
              <c:showSerName val="0"/>
              <c:showPercent val="0"/>
              <c:showBubbleSize val="1"/>
              <c:separator>; </c:separator>
              <c:extLst>
                <c:ext xmlns:c15="http://schemas.microsoft.com/office/drawing/2012/chart" uri="{CE6537A1-D6FC-4f65-9D91-7224C49458BB}">
                  <c15:showDataLabelsRange val="0"/>
                </c:ext>
                <c:ext xmlns:c16="http://schemas.microsoft.com/office/drawing/2014/chart" uri="{C3380CC4-5D6E-409C-BE32-E72D297353CC}">
                  <c16:uniqueId val="{00000003-4C14-47AE-8EAD-9E1EED2B59F2}"/>
                </c:ext>
              </c:extLst>
            </c:dLbl>
            <c:dLbl>
              <c:idx val="4"/>
              <c:tx>
                <c:rich>
                  <a:bodyPr/>
                  <a:lstStyle/>
                  <a:p>
                    <a:r>
                      <a:rPr lang="en-US"/>
                      <a:t>86.2</a:t>
                    </a:r>
                  </a:p>
                  <a:p>
                    <a:endParaRPr lang="en-US"/>
                  </a:p>
                </c:rich>
              </c:tx>
              <c:dLblPos val="t"/>
              <c:showLegendKey val="0"/>
              <c:showVal val="1"/>
              <c:showCatName val="0"/>
              <c:showSerName val="0"/>
              <c:showPercent val="0"/>
              <c:showBubbleSize val="1"/>
              <c:separator>; </c:separator>
              <c:extLst>
                <c:ext xmlns:c15="http://schemas.microsoft.com/office/drawing/2012/chart" uri="{CE6537A1-D6FC-4f65-9D91-7224C49458BB}">
                  <c15:showDataLabelsRange val="0"/>
                </c:ext>
                <c:ext xmlns:c16="http://schemas.microsoft.com/office/drawing/2014/chart" uri="{C3380CC4-5D6E-409C-BE32-E72D297353CC}">
                  <c16:uniqueId val="{00000004-4C14-47AE-8EAD-9E1EED2B59F2}"/>
                </c:ext>
              </c:extLst>
            </c:dLbl>
            <c:dLbl>
              <c:idx val="5"/>
              <c:tx>
                <c:rich>
                  <a:bodyPr/>
                  <a:lstStyle/>
                  <a:p>
                    <a:r>
                      <a:rPr lang="en-US"/>
                      <a:t>91.6</a:t>
                    </a:r>
                  </a:p>
                  <a:p>
                    <a:endParaRPr lang="en-US"/>
                  </a:p>
                </c:rich>
              </c:tx>
              <c:dLblPos val="t"/>
              <c:showLegendKey val="0"/>
              <c:showVal val="1"/>
              <c:showCatName val="0"/>
              <c:showSerName val="0"/>
              <c:showPercent val="0"/>
              <c:showBubbleSize val="1"/>
              <c:separator>; </c:separator>
              <c:extLst>
                <c:ext xmlns:c15="http://schemas.microsoft.com/office/drawing/2012/chart" uri="{CE6537A1-D6FC-4f65-9D91-7224C49458BB}">
                  <c15:showDataLabelsRange val="0"/>
                </c:ext>
                <c:ext xmlns:c16="http://schemas.microsoft.com/office/drawing/2014/chart" uri="{C3380CC4-5D6E-409C-BE32-E72D297353CC}">
                  <c16:uniqueId val="{00000005-4C14-47AE-8EAD-9E1EED2B59F2}"/>
                </c:ext>
              </c:extLst>
            </c:dLbl>
            <c:spPr>
              <a:noFill/>
              <a:ln>
                <a:noFill/>
              </a:ln>
              <a:effectLst/>
            </c:spPr>
            <c:txPr>
              <a:bodyPr/>
              <a:lstStyle/>
              <a:p>
                <a:pPr>
                  <a:defRPr sz="900" b="1" strike="noStrike" spc="-1">
                    <a:solidFill>
                      <a:schemeClr val="accent6">
                        <a:lumMod val="75000"/>
                      </a:schemeClr>
                    </a:solidFill>
                    <a:latin typeface="Abadi Extra Light"/>
                  </a:defRPr>
                </a:pPr>
                <a:endParaRPr lang="en-KE"/>
              </a:p>
            </c:txPr>
            <c:dLblPos val="t"/>
            <c:showLegendKey val="0"/>
            <c:showVal val="1"/>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6"/>
                <c:pt idx="0">
                  <c:v>14/15</c:v>
                </c:pt>
                <c:pt idx="1">
                  <c:v>15/16</c:v>
                </c:pt>
                <c:pt idx="2">
                  <c:v>16/17</c:v>
                </c:pt>
                <c:pt idx="3">
                  <c:v>17/18</c:v>
                </c:pt>
                <c:pt idx="4">
                  <c:v>18/19</c:v>
                </c:pt>
                <c:pt idx="5">
                  <c:v>19/20</c:v>
                </c:pt>
              </c:strCache>
            </c:strRef>
          </c:cat>
          <c:val>
            <c:numRef>
              <c:f>2</c:f>
              <c:numCache>
                <c:formatCode>General</c:formatCode>
                <c:ptCount val="6"/>
                <c:pt idx="0">
                  <c:v>67.287272033148795</c:v>
                </c:pt>
                <c:pt idx="1">
                  <c:v>69.098275576459599</c:v>
                </c:pt>
                <c:pt idx="2">
                  <c:v>80.453132600449806</c:v>
                </c:pt>
                <c:pt idx="3">
                  <c:v>69.939300298815496</c:v>
                </c:pt>
                <c:pt idx="4">
                  <c:v>86.176669745475706</c:v>
                </c:pt>
                <c:pt idx="5">
                  <c:v>91.6002995038356</c:v>
                </c:pt>
              </c:numCache>
            </c:numRef>
          </c:val>
          <c:smooth val="0"/>
          <c:extLst>
            <c:ext xmlns:c16="http://schemas.microsoft.com/office/drawing/2014/chart" uri="{C3380CC4-5D6E-409C-BE32-E72D297353CC}">
              <c16:uniqueId val="{00000002-FD8B-4EF5-9636-6F29961738DC}"/>
            </c:ext>
          </c:extLst>
        </c:ser>
        <c:dLbls>
          <c:showLegendKey val="0"/>
          <c:showVal val="0"/>
          <c:showCatName val="0"/>
          <c:showSerName val="0"/>
          <c:showPercent val="0"/>
          <c:showBubbleSize val="0"/>
        </c:dLbls>
        <c:hiLowLines>
          <c:spPr>
            <a:ln>
              <a:noFill/>
            </a:ln>
          </c:spPr>
        </c:hiLowLines>
        <c:marker val="1"/>
        <c:smooth val="0"/>
        <c:axId val="53538261"/>
        <c:axId val="69664275"/>
      </c:lineChart>
      <c:catAx>
        <c:axId val="53538261"/>
        <c:scaling>
          <c:orientation val="minMax"/>
        </c:scaling>
        <c:delete val="0"/>
        <c:axPos val="b"/>
        <c:title>
          <c:tx>
            <c:rich>
              <a:bodyPr rot="0"/>
              <a:lstStyle/>
              <a:p>
                <a:pPr>
                  <a:defRPr lang="en-US" sz="1000" b="0" strike="noStrike" spc="-1">
                    <a:solidFill>
                      <a:srgbClr val="595959"/>
                    </a:solidFill>
                    <a:latin typeface="Abadi Extra Light"/>
                  </a:defRPr>
                </a:pPr>
                <a:r>
                  <a:rPr lang="en-US" sz="1000" b="0" strike="noStrike" spc="-1">
                    <a:solidFill>
                      <a:srgbClr val="595959"/>
                    </a:solidFill>
                    <a:latin typeface="Abadi Extra Light"/>
                  </a:rPr>
                  <a:t>Financial Year</a:t>
                </a:r>
              </a:p>
            </c:rich>
          </c:tx>
          <c:overlay val="0"/>
          <c:spPr>
            <a:noFill/>
            <a:ln>
              <a:noFill/>
            </a:ln>
          </c:spPr>
        </c:title>
        <c:numFmt formatCode="General" sourceLinked="1"/>
        <c:majorTickMark val="none"/>
        <c:minorTickMark val="none"/>
        <c:tickLblPos val="nextTo"/>
        <c:spPr>
          <a:ln w="9360">
            <a:solidFill>
              <a:srgbClr val="D9D9D9"/>
            </a:solidFill>
            <a:round/>
          </a:ln>
        </c:spPr>
        <c:txPr>
          <a:bodyPr/>
          <a:lstStyle/>
          <a:p>
            <a:pPr>
              <a:defRPr sz="900" b="0" strike="noStrike" spc="-1">
                <a:solidFill>
                  <a:srgbClr val="595959"/>
                </a:solidFill>
                <a:latin typeface="Abadi Extra Light"/>
              </a:defRPr>
            </a:pPr>
            <a:endParaRPr lang="en-KE"/>
          </a:p>
        </c:txPr>
        <c:crossAx val="69664275"/>
        <c:crosses val="autoZero"/>
        <c:auto val="1"/>
        <c:lblAlgn val="ctr"/>
        <c:lblOffset val="100"/>
        <c:noMultiLvlLbl val="0"/>
      </c:catAx>
      <c:valAx>
        <c:axId val="69664275"/>
        <c:scaling>
          <c:orientation val="minMax"/>
        </c:scaling>
        <c:delete val="0"/>
        <c:axPos val="l"/>
        <c:title>
          <c:tx>
            <c:rich>
              <a:bodyPr rot="-5400000"/>
              <a:lstStyle/>
              <a:p>
                <a:pPr>
                  <a:defRPr lang="en-US" sz="1000" b="0" strike="noStrike" spc="-1">
                    <a:solidFill>
                      <a:srgbClr val="595959"/>
                    </a:solidFill>
                    <a:latin typeface="Abadi Extra Light"/>
                  </a:defRPr>
                </a:pPr>
                <a:r>
                  <a:rPr lang="en-US" sz="1000" b="0" strike="noStrike" spc="-1">
                    <a:solidFill>
                      <a:srgbClr val="595959"/>
                    </a:solidFill>
                    <a:latin typeface="Abadi Extra Light"/>
                  </a:rPr>
                  <a:t>Percentage (%)</a:t>
                </a:r>
              </a:p>
            </c:rich>
          </c:tx>
          <c:overlay val="0"/>
          <c:spPr>
            <a:noFill/>
            <a:ln>
              <a:noFill/>
            </a:ln>
          </c:spPr>
        </c:title>
        <c:numFmt formatCode="\ * #,##0.0\ ;\-* #,##0.0\ ;\ * \-#\ ;\ @\ " sourceLinked="0"/>
        <c:majorTickMark val="none"/>
        <c:minorTickMark val="none"/>
        <c:tickLblPos val="nextTo"/>
        <c:spPr>
          <a:ln w="9360">
            <a:noFill/>
          </a:ln>
        </c:spPr>
        <c:txPr>
          <a:bodyPr/>
          <a:lstStyle/>
          <a:p>
            <a:pPr>
              <a:defRPr sz="900" b="0" strike="noStrike" spc="-1">
                <a:solidFill>
                  <a:srgbClr val="595959"/>
                </a:solidFill>
                <a:latin typeface="Abadi Extra Light"/>
              </a:defRPr>
            </a:pPr>
            <a:endParaRPr lang="en-KE"/>
          </a:p>
        </c:txPr>
        <c:crossAx val="53538261"/>
        <c:crosses val="autoZero"/>
        <c:crossBetween val="between"/>
      </c:valAx>
      <c:spPr>
        <a:noFill/>
        <a:ln>
          <a:noFill/>
        </a:ln>
      </c:spPr>
    </c:plotArea>
    <c:legend>
      <c:legendPos val="b"/>
      <c:overlay val="0"/>
      <c:spPr>
        <a:noFill/>
        <a:ln>
          <a:noFill/>
        </a:ln>
      </c:spPr>
      <c:txPr>
        <a:bodyPr/>
        <a:lstStyle/>
        <a:p>
          <a:pPr>
            <a:defRPr sz="900" b="0" strike="noStrike" spc="-1">
              <a:solidFill>
                <a:srgbClr val="595959"/>
              </a:solidFill>
              <a:latin typeface="Abadi Extra Light"/>
            </a:defRPr>
          </a:pPr>
          <a:endParaRPr lang="en-KE"/>
        </a:p>
      </c:txPr>
    </c:legend>
    <c:plotVisOnly val="1"/>
    <c:dispBlanksAs val="gap"/>
    <c:showDLblsOverMax val="1"/>
  </c:chart>
  <c:spPr>
    <a:solidFill>
      <a:srgbClr val="FFFFFF"/>
    </a:solidFill>
    <a:ln w="9360">
      <a:solidFill>
        <a:srgbClr val="D9D9D9"/>
      </a:solidFill>
      <a:round/>
    </a:ln>
  </c:spPr>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accent5">
                    <a:lumMod val="75000"/>
                  </a:schemeClr>
                </a:solidFill>
                <a:latin typeface="Franklin Gothic Demi" panose="020B0703020102020204" pitchFamily="34" charset="0"/>
                <a:ea typeface="+mn-ea"/>
                <a:cs typeface="+mn-cs"/>
              </a:defRPr>
            </a:pPr>
            <a:r>
              <a:rPr lang="en-US">
                <a:solidFill>
                  <a:schemeClr val="accent5">
                    <a:lumMod val="75000"/>
                  </a:schemeClr>
                </a:solidFill>
                <a:latin typeface="Franklin Gothic Demi" panose="020B0703020102020204" pitchFamily="34" charset="0"/>
              </a:rPr>
              <a:t>Trends in Health Insurance Coverage in Kenya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accent5">
                  <a:lumMod val="75000"/>
                </a:schemeClr>
              </a:solidFill>
              <a:latin typeface="Franklin Gothic Demi" panose="020B0703020102020204" pitchFamily="34" charset="0"/>
              <a:ea typeface="+mn-ea"/>
              <a:cs typeface="+mn-cs"/>
            </a:defRPr>
          </a:pPr>
          <a:endParaRPr lang="en-KE"/>
        </a:p>
      </c:txPr>
    </c:title>
    <c:autoTitleDeleted val="0"/>
    <c:plotArea>
      <c:layout/>
      <c:barChart>
        <c:barDir val="bar"/>
        <c:grouping val="clustered"/>
        <c:varyColors val="0"/>
        <c:ser>
          <c:idx val="0"/>
          <c:order val="0"/>
          <c:tx>
            <c:strRef>
              <c:f>Pooling!$B$2</c:f>
              <c:strCache>
                <c:ptCount val="1"/>
                <c:pt idx="0">
                  <c:v>2009</c:v>
                </c:pt>
              </c:strCache>
            </c:strRef>
          </c:tx>
          <c:spPr>
            <a:solidFill>
              <a:srgbClr val="70AD47">
                <a:lumMod val="40000"/>
                <a:lumOff val="60000"/>
              </a:srgb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badi Extra Light" panose="020B0204020104020204" pitchFamily="34" charset="0"/>
                    <a:ea typeface="+mn-ea"/>
                    <a:cs typeface="+mn-cs"/>
                  </a:defRPr>
                </a:pPr>
                <a:endParaRPr lang="en-KE"/>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Pooling!$A$3:$A$8</c:f>
              <c:strCache>
                <c:ptCount val="6"/>
                <c:pt idx="0">
                  <c:v>Any Insurance</c:v>
                </c:pt>
                <c:pt idx="1">
                  <c:v>NHIF</c:v>
                </c:pt>
                <c:pt idx="2">
                  <c:v>Employer Provided</c:v>
                </c:pt>
                <c:pt idx="3">
                  <c:v>Private Purchased</c:v>
                </c:pt>
                <c:pt idx="4">
                  <c:v>CBHI</c:v>
                </c:pt>
                <c:pt idx="5">
                  <c:v>Other</c:v>
                </c:pt>
              </c:strCache>
            </c:strRef>
          </c:cat>
          <c:val>
            <c:numRef>
              <c:f>Pooling!$B$3:$B$8</c:f>
              <c:numCache>
                <c:formatCode>General</c:formatCode>
                <c:ptCount val="6"/>
                <c:pt idx="0">
                  <c:v>8.1999999999999993</c:v>
                </c:pt>
                <c:pt idx="1">
                  <c:v>1.6</c:v>
                </c:pt>
                <c:pt idx="2">
                  <c:v>5.3</c:v>
                </c:pt>
                <c:pt idx="3">
                  <c:v>1.2</c:v>
                </c:pt>
                <c:pt idx="4">
                  <c:v>0.6</c:v>
                </c:pt>
                <c:pt idx="5">
                  <c:v>0.2</c:v>
                </c:pt>
              </c:numCache>
            </c:numRef>
          </c:val>
          <c:extLst>
            <c:ext xmlns:c16="http://schemas.microsoft.com/office/drawing/2014/chart" uri="{C3380CC4-5D6E-409C-BE32-E72D297353CC}">
              <c16:uniqueId val="{00000000-5A43-4E6B-9E43-D41E69F06EFC}"/>
            </c:ext>
          </c:extLst>
        </c:ser>
        <c:ser>
          <c:idx val="1"/>
          <c:order val="1"/>
          <c:tx>
            <c:strRef>
              <c:f>Pooling!$C$2</c:f>
              <c:strCache>
                <c:ptCount val="1"/>
                <c:pt idx="0">
                  <c:v>2014</c:v>
                </c:pt>
              </c:strCache>
            </c:strRef>
          </c:tx>
          <c:spPr>
            <a:solidFill>
              <a:srgbClr val="70AD47">
                <a:lumMod val="75000"/>
              </a:srgbClr>
            </a:solidFill>
            <a:ln>
              <a:noFill/>
            </a:ln>
            <a:effectLst/>
          </c:spPr>
          <c:invertIfNegative val="0"/>
          <c:dLbls>
            <c:dLbl>
              <c:idx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badi Extra Light" panose="020B0204020104020204" pitchFamily="34" charset="0"/>
                      <a:ea typeface="+mn-ea"/>
                      <a:cs typeface="+mn-cs"/>
                    </a:defRPr>
                  </a:pPr>
                  <a:endParaRPr lang="en-KE"/>
                </a:p>
              </c:txPr>
              <c:dLblPos val="inEnd"/>
              <c:showLegendKey val="0"/>
              <c:showVal val="1"/>
              <c:showCatName val="0"/>
              <c:showSerName val="0"/>
              <c:showPercent val="0"/>
              <c:showBubbleSize val="0"/>
              <c:extLst>
                <c:ext xmlns:c16="http://schemas.microsoft.com/office/drawing/2014/chart" uri="{C3380CC4-5D6E-409C-BE32-E72D297353CC}">
                  <c16:uniqueId val="{00000001-5A43-4E6B-9E43-D41E69F06EFC}"/>
                </c:ext>
              </c:extLst>
            </c:dLbl>
            <c:dLbl>
              <c:idx val="1"/>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badi Extra Light" panose="020B0204020104020204" pitchFamily="34" charset="0"/>
                      <a:ea typeface="+mn-ea"/>
                      <a:cs typeface="+mn-cs"/>
                    </a:defRPr>
                  </a:pPr>
                  <a:endParaRPr lang="en-KE"/>
                </a:p>
              </c:txPr>
              <c:dLblPos val="inEnd"/>
              <c:showLegendKey val="0"/>
              <c:showVal val="1"/>
              <c:showCatName val="0"/>
              <c:showSerName val="0"/>
              <c:showPercent val="0"/>
              <c:showBubbleSize val="0"/>
              <c:extLst>
                <c:ext xmlns:c16="http://schemas.microsoft.com/office/drawing/2014/chart" uri="{C3380CC4-5D6E-409C-BE32-E72D297353CC}">
                  <c16:uniqueId val="{00000002-5A43-4E6B-9E43-D41E69F06EFC}"/>
                </c:ext>
              </c:extLst>
            </c:dLbl>
            <c:dLbl>
              <c:idx val="2"/>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badi Extra Light" panose="020B0204020104020204" pitchFamily="34" charset="0"/>
                      <a:ea typeface="+mn-ea"/>
                      <a:cs typeface="+mn-cs"/>
                    </a:defRPr>
                  </a:pPr>
                  <a:endParaRPr lang="en-KE"/>
                </a:p>
              </c:txPr>
              <c:dLblPos val="inEnd"/>
              <c:showLegendKey val="0"/>
              <c:showVal val="1"/>
              <c:showCatName val="0"/>
              <c:showSerName val="0"/>
              <c:showPercent val="0"/>
              <c:showBubbleSize val="0"/>
              <c:extLst>
                <c:ext xmlns:c16="http://schemas.microsoft.com/office/drawing/2014/chart" uri="{C3380CC4-5D6E-409C-BE32-E72D297353CC}">
                  <c16:uniqueId val="{00000003-5A43-4E6B-9E43-D41E69F06EFC}"/>
                </c:ext>
              </c:extLst>
            </c:dLbl>
            <c:dLbl>
              <c:idx val="3"/>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badi Extra Light" panose="020B0204020104020204" pitchFamily="34" charset="0"/>
                      <a:ea typeface="+mn-ea"/>
                      <a:cs typeface="+mn-cs"/>
                    </a:defRPr>
                  </a:pPr>
                  <a:endParaRPr lang="en-KE"/>
                </a:p>
              </c:txPr>
              <c:dLblPos val="inEnd"/>
              <c:showLegendKey val="0"/>
              <c:showVal val="1"/>
              <c:showCatName val="0"/>
              <c:showSerName val="0"/>
              <c:showPercent val="0"/>
              <c:showBubbleSize val="0"/>
              <c:extLst>
                <c:ext xmlns:c16="http://schemas.microsoft.com/office/drawing/2014/chart" uri="{C3380CC4-5D6E-409C-BE32-E72D297353CC}">
                  <c16:uniqueId val="{00000004-5A43-4E6B-9E43-D41E69F06EFC}"/>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badi Extra Light" panose="020B0204020104020204" pitchFamily="34" charset="0"/>
                    <a:ea typeface="+mn-ea"/>
                    <a:cs typeface="+mn-cs"/>
                  </a:defRPr>
                </a:pPr>
                <a:endParaRPr lang="en-KE"/>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Pooling!$A$3:$A$8</c:f>
              <c:strCache>
                <c:ptCount val="6"/>
                <c:pt idx="0">
                  <c:v>Any Insurance</c:v>
                </c:pt>
                <c:pt idx="1">
                  <c:v>NHIF</c:v>
                </c:pt>
                <c:pt idx="2">
                  <c:v>Employer Provided</c:v>
                </c:pt>
                <c:pt idx="3">
                  <c:v>Private Purchased</c:v>
                </c:pt>
                <c:pt idx="4">
                  <c:v>CBHI</c:v>
                </c:pt>
                <c:pt idx="5">
                  <c:v>Other</c:v>
                </c:pt>
              </c:strCache>
            </c:strRef>
          </c:cat>
          <c:val>
            <c:numRef>
              <c:f>Pooling!$C$3:$C$8</c:f>
              <c:numCache>
                <c:formatCode>General</c:formatCode>
                <c:ptCount val="6"/>
                <c:pt idx="0">
                  <c:v>19.600000000000001</c:v>
                </c:pt>
                <c:pt idx="1">
                  <c:v>15.8</c:v>
                </c:pt>
                <c:pt idx="2">
                  <c:v>2.9</c:v>
                </c:pt>
                <c:pt idx="3">
                  <c:v>1.2</c:v>
                </c:pt>
                <c:pt idx="4">
                  <c:v>0.3</c:v>
                </c:pt>
                <c:pt idx="5">
                  <c:v>0.4</c:v>
                </c:pt>
              </c:numCache>
            </c:numRef>
          </c:val>
          <c:extLst>
            <c:ext xmlns:c16="http://schemas.microsoft.com/office/drawing/2014/chart" uri="{C3380CC4-5D6E-409C-BE32-E72D297353CC}">
              <c16:uniqueId val="{00000005-5A43-4E6B-9E43-D41E69F06EFC}"/>
            </c:ext>
          </c:extLst>
        </c:ser>
        <c:dLbls>
          <c:dLblPos val="inEnd"/>
          <c:showLegendKey val="0"/>
          <c:showVal val="1"/>
          <c:showCatName val="0"/>
          <c:showSerName val="0"/>
          <c:showPercent val="0"/>
          <c:showBubbleSize val="0"/>
        </c:dLbls>
        <c:gapWidth val="22"/>
        <c:axId val="1269461359"/>
        <c:axId val="1449545087"/>
      </c:barChart>
      <c:catAx>
        <c:axId val="1269461359"/>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badi Extra Light" panose="020B0204020104020204" pitchFamily="34" charset="0"/>
                <a:ea typeface="+mn-ea"/>
                <a:cs typeface="+mn-cs"/>
              </a:defRPr>
            </a:pPr>
            <a:endParaRPr lang="en-KE"/>
          </a:p>
        </c:txPr>
        <c:crossAx val="1449545087"/>
        <c:crosses val="autoZero"/>
        <c:auto val="1"/>
        <c:lblAlgn val="ctr"/>
        <c:lblOffset val="100"/>
        <c:noMultiLvlLbl val="0"/>
      </c:catAx>
      <c:valAx>
        <c:axId val="1449545087"/>
        <c:scaling>
          <c:orientation val="minMax"/>
          <c:max val="2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Abadi Extra Light" panose="020B0204020104020204" pitchFamily="34" charset="0"/>
                    <a:ea typeface="+mn-ea"/>
                    <a:cs typeface="+mn-cs"/>
                  </a:defRPr>
                </a:pPr>
                <a:r>
                  <a:rPr lang="en-US"/>
                  <a:t>Coverage</a:t>
                </a:r>
                <a:r>
                  <a:rPr lang="en-US" baseline="0"/>
                  <a:t> (%)</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badi Extra Light" panose="020B0204020104020204" pitchFamily="34" charset="0"/>
                  <a:ea typeface="+mn-ea"/>
                  <a:cs typeface="+mn-cs"/>
                </a:defRPr>
              </a:pPr>
              <a:endParaRPr lang="en-K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badi Extra Light" panose="020B0204020104020204" pitchFamily="34" charset="0"/>
                <a:ea typeface="+mn-ea"/>
                <a:cs typeface="+mn-cs"/>
              </a:defRPr>
            </a:pPr>
            <a:endParaRPr lang="en-KE"/>
          </a:p>
        </c:txPr>
        <c:crossAx val="12694613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badi Extra Light" panose="020B0204020104020204" pitchFamily="34" charset="0"/>
              <a:ea typeface="+mn-ea"/>
              <a:cs typeface="+mn-cs"/>
            </a:defRPr>
          </a:pPr>
          <a:endParaRPr lang="en-K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0">
          <a:solidFill>
            <a:schemeClr val="tx1"/>
          </a:solidFill>
          <a:latin typeface="Abadi Extra Light" panose="020B0204020104020204" pitchFamily="34" charset="0"/>
        </a:defRPr>
      </a:pPr>
      <a:endParaRPr lang="en-KE"/>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rgbClr val="0070C0"/>
                </a:solidFill>
                <a:latin typeface="Franklin Gothic Demi" panose="020B0703020102020204" pitchFamily="34" charset="0"/>
                <a:ea typeface="+mn-ea"/>
                <a:cs typeface="+mn-cs"/>
              </a:defRPr>
            </a:pPr>
            <a:r>
              <a:rPr lang="en-US">
                <a:solidFill>
                  <a:srgbClr val="0070C0"/>
                </a:solidFill>
                <a:latin typeface="Franklin Gothic Demi" panose="020B0703020102020204" pitchFamily="34" charset="0"/>
              </a:rPr>
              <a:t>Private</a:t>
            </a:r>
            <a:r>
              <a:rPr lang="en-US" baseline="0">
                <a:solidFill>
                  <a:srgbClr val="0070C0"/>
                </a:solidFill>
                <a:latin typeface="Franklin Gothic Demi" panose="020B0703020102020204" pitchFamily="34" charset="0"/>
              </a:rPr>
              <a:t> Insurance 5 Yr Performance</a:t>
            </a:r>
            <a:endParaRPr lang="en-US">
              <a:solidFill>
                <a:srgbClr val="0070C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rgbClr val="0070C0"/>
              </a:solidFill>
              <a:latin typeface="Franklin Gothic Demi" panose="020B0703020102020204" pitchFamily="34" charset="0"/>
              <a:ea typeface="+mn-ea"/>
              <a:cs typeface="+mn-cs"/>
            </a:defRPr>
          </a:pPr>
          <a:endParaRPr lang="en-KE"/>
        </a:p>
      </c:txPr>
    </c:title>
    <c:autoTitleDeleted val="0"/>
    <c:plotArea>
      <c:layout/>
      <c:barChart>
        <c:barDir val="col"/>
        <c:grouping val="clustered"/>
        <c:varyColors val="0"/>
        <c:ser>
          <c:idx val="0"/>
          <c:order val="0"/>
          <c:tx>
            <c:strRef>
              <c:f>'Health Expenditure'!$A$13</c:f>
              <c:strCache>
                <c:ptCount val="1"/>
                <c:pt idx="0">
                  <c:v>Premiums</c:v>
                </c:pt>
              </c:strCache>
            </c:strRef>
          </c:tx>
          <c:spPr>
            <a:solidFill>
              <a:schemeClr val="accent5">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badi Extra Light" panose="020B0204020104020204" pitchFamily="34" charset="0"/>
                    <a:ea typeface="+mn-ea"/>
                    <a:cs typeface="+mn-cs"/>
                  </a:defRPr>
                </a:pPr>
                <a:endParaRPr lang="en-KE"/>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'Health Expenditure'!$B$12:$F$12</c:f>
              <c:numCache>
                <c:formatCode>General</c:formatCode>
                <c:ptCount val="5"/>
                <c:pt idx="0">
                  <c:v>2014</c:v>
                </c:pt>
                <c:pt idx="1">
                  <c:v>2015</c:v>
                </c:pt>
                <c:pt idx="2">
                  <c:v>2016</c:v>
                </c:pt>
                <c:pt idx="3">
                  <c:v>2017</c:v>
                </c:pt>
                <c:pt idx="4">
                  <c:v>2018</c:v>
                </c:pt>
              </c:numCache>
            </c:numRef>
          </c:cat>
          <c:val>
            <c:numRef>
              <c:f>'Health Expenditure'!$B$13:$F$13</c:f>
              <c:numCache>
                <c:formatCode>_-* #,##0_-;\-* #,##0_-;_-* "-"??_-;_-@_-</c:formatCode>
                <c:ptCount val="5"/>
                <c:pt idx="0">
                  <c:v>16474.599999999999</c:v>
                </c:pt>
                <c:pt idx="1">
                  <c:v>19929.257000000001</c:v>
                </c:pt>
                <c:pt idx="2">
                  <c:v>23920.288</c:v>
                </c:pt>
                <c:pt idx="3">
                  <c:v>28399.766</c:v>
                </c:pt>
                <c:pt idx="4">
                  <c:v>27133.651999999998</c:v>
                </c:pt>
              </c:numCache>
            </c:numRef>
          </c:val>
          <c:extLst>
            <c:ext xmlns:c16="http://schemas.microsoft.com/office/drawing/2014/chart" uri="{C3380CC4-5D6E-409C-BE32-E72D297353CC}">
              <c16:uniqueId val="{00000000-DE33-417D-9B54-0FCA16926EC0}"/>
            </c:ext>
          </c:extLst>
        </c:ser>
        <c:ser>
          <c:idx val="1"/>
          <c:order val="1"/>
          <c:tx>
            <c:strRef>
              <c:f>'Health Expenditure'!$A$14</c:f>
              <c:strCache>
                <c:ptCount val="1"/>
                <c:pt idx="0">
                  <c:v>Claims Pay Out</c:v>
                </c:pt>
              </c:strCache>
            </c:strRef>
          </c:tx>
          <c:spPr>
            <a:solidFill>
              <a:schemeClr val="accent5">
                <a:lumMod val="40000"/>
                <a:lumOff val="60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badi Extra Light" panose="020B0204020104020204" pitchFamily="34" charset="0"/>
                    <a:ea typeface="+mn-ea"/>
                    <a:cs typeface="+mn-cs"/>
                  </a:defRPr>
                </a:pPr>
                <a:endParaRPr lang="en-K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'Health Expenditure'!$B$12:$F$12</c:f>
              <c:numCache>
                <c:formatCode>General</c:formatCode>
                <c:ptCount val="5"/>
                <c:pt idx="0">
                  <c:v>2014</c:v>
                </c:pt>
                <c:pt idx="1">
                  <c:v>2015</c:v>
                </c:pt>
                <c:pt idx="2">
                  <c:v>2016</c:v>
                </c:pt>
                <c:pt idx="3">
                  <c:v>2017</c:v>
                </c:pt>
                <c:pt idx="4">
                  <c:v>2018</c:v>
                </c:pt>
              </c:numCache>
            </c:numRef>
          </c:cat>
          <c:val>
            <c:numRef>
              <c:f>'Health Expenditure'!$B$14:$F$14</c:f>
              <c:numCache>
                <c:formatCode>_-* #,##0_-;\-* #,##0_-;_-* "-"??_-;_-@_-</c:formatCode>
                <c:ptCount val="5"/>
                <c:pt idx="0">
                  <c:v>12774.064</c:v>
                </c:pt>
                <c:pt idx="1">
                  <c:v>15063.107</c:v>
                </c:pt>
                <c:pt idx="2">
                  <c:v>18095.201000000001</c:v>
                </c:pt>
                <c:pt idx="3">
                  <c:v>19323.477999999999</c:v>
                </c:pt>
                <c:pt idx="4">
                  <c:v>20515.401999999998</c:v>
                </c:pt>
              </c:numCache>
            </c:numRef>
          </c:val>
          <c:extLst>
            <c:ext xmlns:c16="http://schemas.microsoft.com/office/drawing/2014/chart" uri="{C3380CC4-5D6E-409C-BE32-E72D297353CC}">
              <c16:uniqueId val="{00000001-DE33-417D-9B54-0FCA16926EC0}"/>
            </c:ext>
          </c:extLst>
        </c:ser>
        <c:dLbls>
          <c:showLegendKey val="0"/>
          <c:showVal val="0"/>
          <c:showCatName val="0"/>
          <c:showSerName val="0"/>
          <c:showPercent val="0"/>
          <c:showBubbleSize val="0"/>
        </c:dLbls>
        <c:gapWidth val="219"/>
        <c:axId val="542369208"/>
        <c:axId val="542369528"/>
      </c:barChart>
      <c:lineChart>
        <c:grouping val="standard"/>
        <c:varyColors val="0"/>
        <c:ser>
          <c:idx val="2"/>
          <c:order val="2"/>
          <c:tx>
            <c:strRef>
              <c:f>'Health Expenditure'!$A$15</c:f>
              <c:strCache>
                <c:ptCount val="1"/>
                <c:pt idx="0">
                  <c:v>Profit/Loss</c:v>
                </c:pt>
              </c:strCache>
            </c:strRef>
          </c:tx>
          <c:spPr>
            <a:ln w="28575" cap="rnd">
              <a:solidFill>
                <a:srgbClr val="C00000"/>
              </a:solidFill>
              <a:round/>
            </a:ln>
            <a:effectLst/>
          </c:spPr>
          <c:marker>
            <c:symbol val="none"/>
          </c:marker>
          <c:cat>
            <c:numRef>
              <c:f>'Health Expenditure'!$B$12:$F$12</c:f>
              <c:numCache>
                <c:formatCode>General</c:formatCode>
                <c:ptCount val="5"/>
                <c:pt idx="0">
                  <c:v>2014</c:v>
                </c:pt>
                <c:pt idx="1">
                  <c:v>2015</c:v>
                </c:pt>
                <c:pt idx="2">
                  <c:v>2016</c:v>
                </c:pt>
                <c:pt idx="3">
                  <c:v>2017</c:v>
                </c:pt>
                <c:pt idx="4">
                  <c:v>2018</c:v>
                </c:pt>
              </c:numCache>
            </c:numRef>
          </c:cat>
          <c:val>
            <c:numRef>
              <c:f>'Health Expenditure'!$B$15:$F$15</c:f>
              <c:numCache>
                <c:formatCode>_-* #,##0_-;\-* #,##0_-;_-* "-"??_-;_-@_-</c:formatCode>
                <c:ptCount val="5"/>
                <c:pt idx="0">
                  <c:v>-396.89499999999998</c:v>
                </c:pt>
                <c:pt idx="1">
                  <c:v>-118.033</c:v>
                </c:pt>
                <c:pt idx="2">
                  <c:v>-849.53700000000003</c:v>
                </c:pt>
                <c:pt idx="3">
                  <c:v>82.522999999999996</c:v>
                </c:pt>
                <c:pt idx="4">
                  <c:v>-1008.23</c:v>
                </c:pt>
              </c:numCache>
            </c:numRef>
          </c:val>
          <c:smooth val="0"/>
          <c:extLst>
            <c:ext xmlns:c16="http://schemas.microsoft.com/office/drawing/2014/chart" uri="{C3380CC4-5D6E-409C-BE32-E72D297353CC}">
              <c16:uniqueId val="{00000002-DE33-417D-9B54-0FCA16926EC0}"/>
            </c:ext>
          </c:extLst>
        </c:ser>
        <c:dLbls>
          <c:showLegendKey val="0"/>
          <c:showVal val="0"/>
          <c:showCatName val="0"/>
          <c:showSerName val="0"/>
          <c:showPercent val="0"/>
          <c:showBubbleSize val="0"/>
        </c:dLbls>
        <c:marker val="1"/>
        <c:smooth val="0"/>
        <c:axId val="542369208"/>
        <c:axId val="542369528"/>
      </c:lineChart>
      <c:lineChart>
        <c:grouping val="standard"/>
        <c:varyColors val="0"/>
        <c:ser>
          <c:idx val="3"/>
          <c:order val="3"/>
          <c:tx>
            <c:strRef>
              <c:f>'Health Expenditure'!$A$16</c:f>
              <c:strCache>
                <c:ptCount val="1"/>
                <c:pt idx="0">
                  <c:v>Claims Ratio (CR)</c:v>
                </c:pt>
              </c:strCache>
            </c:strRef>
          </c:tx>
          <c:spPr>
            <a:ln w="28575" cap="rnd">
              <a:solidFill>
                <a:srgbClr val="92D050"/>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badi Extra Light" panose="020B0204020104020204" pitchFamily="34" charset="0"/>
                    <a:ea typeface="+mn-ea"/>
                    <a:cs typeface="+mn-cs"/>
                  </a:defRPr>
                </a:pPr>
                <a:endParaRPr lang="en-K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'Health Expenditure'!$B$12:$F$12</c:f>
              <c:numCache>
                <c:formatCode>General</c:formatCode>
                <c:ptCount val="5"/>
                <c:pt idx="0">
                  <c:v>2014</c:v>
                </c:pt>
                <c:pt idx="1">
                  <c:v>2015</c:v>
                </c:pt>
                <c:pt idx="2">
                  <c:v>2016</c:v>
                </c:pt>
                <c:pt idx="3">
                  <c:v>2017</c:v>
                </c:pt>
                <c:pt idx="4">
                  <c:v>2018</c:v>
                </c:pt>
              </c:numCache>
            </c:numRef>
          </c:cat>
          <c:val>
            <c:numRef>
              <c:f>'Health Expenditure'!$B$16:$F$16</c:f>
              <c:numCache>
                <c:formatCode>General</c:formatCode>
                <c:ptCount val="5"/>
                <c:pt idx="0">
                  <c:v>78.2</c:v>
                </c:pt>
                <c:pt idx="1">
                  <c:v>83.8</c:v>
                </c:pt>
                <c:pt idx="2">
                  <c:v>76.2</c:v>
                </c:pt>
                <c:pt idx="3">
                  <c:v>72.599999999999994</c:v>
                </c:pt>
                <c:pt idx="4">
                  <c:v>75.599999999999994</c:v>
                </c:pt>
              </c:numCache>
            </c:numRef>
          </c:val>
          <c:smooth val="0"/>
          <c:extLst>
            <c:ext xmlns:c16="http://schemas.microsoft.com/office/drawing/2014/chart" uri="{C3380CC4-5D6E-409C-BE32-E72D297353CC}">
              <c16:uniqueId val="{00000003-DE33-417D-9B54-0FCA16926EC0}"/>
            </c:ext>
          </c:extLst>
        </c:ser>
        <c:dLbls>
          <c:showLegendKey val="0"/>
          <c:showVal val="0"/>
          <c:showCatName val="0"/>
          <c:showSerName val="0"/>
          <c:showPercent val="0"/>
          <c:showBubbleSize val="0"/>
        </c:dLbls>
        <c:marker val="1"/>
        <c:smooth val="0"/>
        <c:axId val="547984056"/>
        <c:axId val="547984376"/>
      </c:lineChart>
      <c:catAx>
        <c:axId val="542369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badi Extra Light" panose="020B0204020104020204" pitchFamily="34" charset="0"/>
                <a:ea typeface="+mn-ea"/>
                <a:cs typeface="+mn-cs"/>
              </a:defRPr>
            </a:pPr>
            <a:endParaRPr lang="en-KE"/>
          </a:p>
        </c:txPr>
        <c:crossAx val="542369528"/>
        <c:crosses val="autoZero"/>
        <c:auto val="1"/>
        <c:lblAlgn val="ctr"/>
        <c:lblOffset val="100"/>
        <c:noMultiLvlLbl val="0"/>
      </c:catAx>
      <c:valAx>
        <c:axId val="542369528"/>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badi Extra Light" panose="020B0204020104020204" pitchFamily="34" charset="0"/>
                    <a:ea typeface="+mn-ea"/>
                    <a:cs typeface="+mn-cs"/>
                  </a:defRPr>
                </a:pPr>
                <a:r>
                  <a:rPr lang="en-US"/>
                  <a:t>Amount in Millions (Ksh)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badi Extra Light" panose="020B0204020104020204" pitchFamily="34" charset="0"/>
                  <a:ea typeface="+mn-ea"/>
                  <a:cs typeface="+mn-cs"/>
                </a:defRPr>
              </a:pPr>
              <a:endParaRPr lang="en-KE"/>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badi Extra Light" panose="020B0204020104020204" pitchFamily="34" charset="0"/>
                <a:ea typeface="+mn-ea"/>
                <a:cs typeface="+mn-cs"/>
              </a:defRPr>
            </a:pPr>
            <a:endParaRPr lang="en-KE"/>
          </a:p>
        </c:txPr>
        <c:crossAx val="542369208"/>
        <c:crosses val="autoZero"/>
        <c:crossBetween val="between"/>
      </c:valAx>
      <c:valAx>
        <c:axId val="547984376"/>
        <c:scaling>
          <c:orientation val="minMax"/>
          <c:min val="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badi Extra Light" panose="020B0204020104020204" pitchFamily="34" charset="0"/>
                    <a:ea typeface="+mn-ea"/>
                    <a:cs typeface="+mn-cs"/>
                  </a:defRPr>
                </a:pPr>
                <a:r>
                  <a:rPr lang="en-US"/>
                  <a:t>Percentage</a:t>
                </a:r>
                <a:r>
                  <a:rPr lang="en-US" baseline="0"/>
                  <a:t> (%)</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badi Extra Light" panose="020B0204020104020204" pitchFamily="34" charset="0"/>
                  <a:ea typeface="+mn-ea"/>
                  <a:cs typeface="+mn-cs"/>
                </a:defRPr>
              </a:pPr>
              <a:endParaRPr lang="en-KE"/>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badi Extra Light" panose="020B0204020104020204" pitchFamily="34" charset="0"/>
                <a:ea typeface="+mn-ea"/>
                <a:cs typeface="+mn-cs"/>
              </a:defRPr>
            </a:pPr>
            <a:endParaRPr lang="en-KE"/>
          </a:p>
        </c:txPr>
        <c:crossAx val="547984056"/>
        <c:crosses val="max"/>
        <c:crossBetween val="between"/>
      </c:valAx>
      <c:catAx>
        <c:axId val="547984056"/>
        <c:scaling>
          <c:orientation val="minMax"/>
        </c:scaling>
        <c:delete val="1"/>
        <c:axPos val="b"/>
        <c:numFmt formatCode="General" sourceLinked="1"/>
        <c:majorTickMark val="out"/>
        <c:minorTickMark val="none"/>
        <c:tickLblPos val="nextTo"/>
        <c:crossAx val="54798437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badi Extra Light" panose="020B0204020104020204" pitchFamily="34" charset="0"/>
              <a:ea typeface="+mn-ea"/>
              <a:cs typeface="+mn-cs"/>
            </a:defRPr>
          </a:pPr>
          <a:endParaRPr lang="en-K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badi Extra Light" panose="020B0204020104020204" pitchFamily="34" charset="0"/>
        </a:defRPr>
      </a:pPr>
      <a:endParaRPr lang="en-KE"/>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0.20491</cdr:x>
      <cdr:y>0.30094</cdr:y>
    </cdr:from>
    <cdr:to>
      <cdr:x>0.90541</cdr:x>
      <cdr:y>0.30905</cdr:y>
    </cdr:to>
    <cdr:cxnSp macro="">
      <cdr:nvCxnSpPr>
        <cdr:cNvPr id="3" name="Straight Connector 2">
          <a:extLst xmlns:a="http://schemas.openxmlformats.org/drawingml/2006/main">
            <a:ext uri="{FF2B5EF4-FFF2-40B4-BE49-F238E27FC236}">
              <a16:creationId xmlns:a16="http://schemas.microsoft.com/office/drawing/2014/main" id="{2F45979B-C2B5-4FBA-88D1-7884729A0F35}"/>
            </a:ext>
          </a:extLst>
        </cdr:cNvPr>
        <cdr:cNvCxnSpPr/>
      </cdr:nvCxnSpPr>
      <cdr:spPr>
        <a:xfrm xmlns:a="http://schemas.openxmlformats.org/drawingml/2006/main" flipH="1" flipV="1">
          <a:off x="1146311" y="909629"/>
          <a:ext cx="3918842" cy="24513"/>
        </a:xfrm>
        <a:prstGeom xmlns:a="http://schemas.openxmlformats.org/drawingml/2006/main" prst="line">
          <a:avLst/>
        </a:prstGeom>
        <a:ln xmlns:a="http://schemas.openxmlformats.org/drawingml/2006/main" w="19050" cap="flat" cmpd="sng" algn="ctr">
          <a:solidFill>
            <a:srgbClr val="C00000"/>
          </a:solidFill>
          <a:prstDash val="dash"/>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cxnSp>
  </cdr:relSizeAnchor>
  <cdr:relSizeAnchor xmlns:cdr="http://schemas.openxmlformats.org/drawingml/2006/chartDrawing">
    <cdr:from>
      <cdr:x>0.19296</cdr:x>
      <cdr:y>0.04979</cdr:y>
    </cdr:from>
    <cdr:to>
      <cdr:x>0.32236</cdr:x>
      <cdr:y>0.16954</cdr:y>
    </cdr:to>
    <cdr:sp macro="" textlink="">
      <cdr:nvSpPr>
        <cdr:cNvPr id="4" name="Callout: Double Bent Line 3"/>
        <cdr:cNvSpPr/>
      </cdr:nvSpPr>
      <cdr:spPr>
        <a:xfrm xmlns:a="http://schemas.openxmlformats.org/drawingml/2006/main">
          <a:off x="1079500" y="150495"/>
          <a:ext cx="723900" cy="361950"/>
        </a:xfrm>
        <a:prstGeom xmlns:a="http://schemas.openxmlformats.org/drawingml/2006/main" prst="borderCallout3">
          <a:avLst>
            <a:gd name="adj1" fmla="val 18750"/>
            <a:gd name="adj2" fmla="val -1316"/>
            <a:gd name="adj3" fmla="val 18750"/>
            <a:gd name="adj4" fmla="val -16667"/>
            <a:gd name="adj5" fmla="val 85965"/>
            <a:gd name="adj6" fmla="val -12281"/>
            <a:gd name="adj7" fmla="val 200054"/>
            <a:gd name="adj8" fmla="val 12613"/>
          </a:avLst>
        </a:prstGeom>
        <a:solidFill xmlns:a="http://schemas.openxmlformats.org/drawingml/2006/main">
          <a:sysClr val="window" lastClr="FFFFFF"/>
        </a:solidFill>
        <a:ln xmlns:a="http://schemas.openxmlformats.org/drawingml/2006/main" w="12700" cap="flat" cmpd="sng" algn="ctr">
          <a:solidFill>
            <a:srgbClr val="297FD5"/>
          </a:solidFill>
          <a:prstDash val="solid"/>
        </a:ln>
        <a:effectLst xmlns:a="http://schemas.openxmlformats.org/drawingml/2006/main"/>
      </cdr:spPr>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lnSpc>
              <a:spcPct val="107000"/>
            </a:lnSpc>
            <a:spcAft>
              <a:spcPts val="800"/>
            </a:spcAft>
          </a:pPr>
          <a:r>
            <a:rPr lang="en-KE" sz="800">
              <a:effectLst/>
              <a:latin typeface="Abadi Extra Light" panose="020B0204020104020204" pitchFamily="34" charset="0"/>
              <a:ea typeface="Calibri" panose="020F0502020204030204" pitchFamily="34" charset="0"/>
              <a:cs typeface="Times New Roman" panose="02020603050405020304" pitchFamily="18" charset="0"/>
            </a:rPr>
            <a:t>Tax vs GDP Threshold</a:t>
          </a:r>
          <a:endParaRPr lang="en-KE"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0.16469</cdr:x>
      <cdr:y>0.52059</cdr:y>
    </cdr:from>
    <cdr:to>
      <cdr:x>0.88429</cdr:x>
      <cdr:y>0.53023</cdr:y>
    </cdr:to>
    <cdr:cxnSp macro="">
      <cdr:nvCxnSpPr>
        <cdr:cNvPr id="3" name="Straight Connector 2"/>
        <cdr:cNvCxnSpPr/>
      </cdr:nvCxnSpPr>
      <cdr:spPr>
        <a:xfrm xmlns:a="http://schemas.openxmlformats.org/drawingml/2006/main" flipH="1">
          <a:off x="970671" y="1519311"/>
          <a:ext cx="4241409" cy="28135"/>
        </a:xfrm>
        <a:prstGeom xmlns:a="http://schemas.openxmlformats.org/drawingml/2006/main" prst="line">
          <a:avLst/>
        </a:prstGeom>
        <a:ln xmlns:a="http://schemas.openxmlformats.org/drawingml/2006/main" w="19050">
          <a:solidFill>
            <a:srgbClr val="C00000"/>
          </a:solidFill>
          <a:prstDash val="dash"/>
        </a:ln>
        <a:effectLst xmlns:a="http://schemas.openxmlformats.org/drawingml/2006/mai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0.20353</cdr:x>
      <cdr:y>0.25447</cdr:y>
    </cdr:from>
    <cdr:to>
      <cdr:x>0.86824</cdr:x>
      <cdr:y>0.26089</cdr:y>
    </cdr:to>
    <cdr:cxnSp macro="">
      <cdr:nvCxnSpPr>
        <cdr:cNvPr id="3" name="Straight Connector 2">
          <a:extLst xmlns:a="http://schemas.openxmlformats.org/drawingml/2006/main">
            <a:ext uri="{FF2B5EF4-FFF2-40B4-BE49-F238E27FC236}">
              <a16:creationId xmlns:a16="http://schemas.microsoft.com/office/drawing/2014/main" id="{08F97FCE-20A4-4D98-B366-56B3E0A87881}"/>
            </a:ext>
          </a:extLst>
        </cdr:cNvPr>
        <cdr:cNvCxnSpPr/>
      </cdr:nvCxnSpPr>
      <cdr:spPr>
        <a:xfrm xmlns:a="http://schemas.openxmlformats.org/drawingml/2006/main" flipV="1">
          <a:off x="1205310" y="703385"/>
          <a:ext cx="3936431" cy="17753"/>
        </a:xfrm>
        <a:prstGeom xmlns:a="http://schemas.openxmlformats.org/drawingml/2006/main" prst="line">
          <a:avLst/>
        </a:prstGeom>
        <a:ln xmlns:a="http://schemas.openxmlformats.org/drawingml/2006/main" w="19050">
          <a:solidFill>
            <a:srgbClr val="C00000"/>
          </a:solidFill>
          <a:prstDash val="dash"/>
          <a:headEnd type="none" w="med" len="med"/>
          <a:tailEnd type="none" w="med" len="med"/>
        </a:ln>
        <a:effectLst xmlns:a="http://schemas.openxmlformats.org/drawingml/2006/mai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0.18888</cdr:x>
      <cdr:y>0.19981</cdr:y>
    </cdr:from>
    <cdr:to>
      <cdr:x>0.45917</cdr:x>
      <cdr:y>0.26903</cdr:y>
    </cdr:to>
    <cdr:sp macro="" textlink="">
      <cdr:nvSpPr>
        <cdr:cNvPr id="9" name="TextBox 8">
          <a:extLst xmlns:a="http://schemas.openxmlformats.org/drawingml/2006/main">
            <a:ext uri="{FF2B5EF4-FFF2-40B4-BE49-F238E27FC236}">
              <a16:creationId xmlns:a16="http://schemas.microsoft.com/office/drawing/2014/main" id="{EFDC248C-D9B8-473F-BB8E-A73AAEC067BF}"/>
            </a:ext>
          </a:extLst>
        </cdr:cNvPr>
        <cdr:cNvSpPr txBox="1"/>
      </cdr:nvSpPr>
      <cdr:spPr>
        <a:xfrm xmlns:a="http://schemas.openxmlformats.org/drawingml/2006/main">
          <a:off x="1118520" y="552312"/>
          <a:ext cx="1600660" cy="19133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latin typeface="Abadi Extra Light" panose="020B0204020104020204" pitchFamily="34" charset="0"/>
            </a:rPr>
            <a:t>Debt:GDP Ratio Threshold</a:t>
          </a:r>
          <a:endParaRPr lang="en-KE" sz="800">
            <a:latin typeface="Abadi Extra Light" panose="020B0204020104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0.18213</cdr:x>
      <cdr:y>0.31031</cdr:y>
    </cdr:from>
    <cdr:to>
      <cdr:x>0.90212</cdr:x>
      <cdr:y>0.31031</cdr:y>
    </cdr:to>
    <cdr:cxnSp macro="">
      <cdr:nvCxnSpPr>
        <cdr:cNvPr id="3" name="Straight Connector 2">
          <a:extLst xmlns:a="http://schemas.openxmlformats.org/drawingml/2006/main">
            <a:ext uri="{FF2B5EF4-FFF2-40B4-BE49-F238E27FC236}">
              <a16:creationId xmlns:a16="http://schemas.microsoft.com/office/drawing/2014/main" id="{6940A267-44B7-4277-BD72-AEDFF5065368}"/>
            </a:ext>
          </a:extLst>
        </cdr:cNvPr>
        <cdr:cNvCxnSpPr/>
      </cdr:nvCxnSpPr>
      <cdr:spPr>
        <a:xfrm xmlns:a="http://schemas.openxmlformats.org/drawingml/2006/main">
          <a:off x="1061690" y="934010"/>
          <a:ext cx="4197038" cy="0"/>
        </a:xfrm>
        <a:prstGeom xmlns:a="http://schemas.openxmlformats.org/drawingml/2006/main" prst="line">
          <a:avLst/>
        </a:prstGeom>
        <a:ln xmlns:a="http://schemas.openxmlformats.org/drawingml/2006/main" w="12700" cap="flat" cmpd="sng" algn="ctr">
          <a:solidFill>
            <a:schemeClr val="accent4"/>
          </a:solidFill>
          <a:prstDash val="dash"/>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Tunu 1">
    <a:majorFont>
      <a:latin typeface="Franklin Gothic Heavy"/>
      <a:ea typeface=""/>
      <a:cs typeface=""/>
    </a:majorFont>
    <a:minorFont>
      <a:latin typeface="Abadi Extra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5FBBAF-592F-4A20-BED0-5F9BB1643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61</Pages>
  <Words>19881</Words>
  <Characters>113322</Characters>
  <Application>Microsoft Office Word</Application>
  <DocSecurity>0</DocSecurity>
  <Lines>944</Lines>
  <Paragraphs>265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Nyasha Chiugore</dc:creator>
  <dc:description/>
  <cp:lastModifiedBy>Caleb Mulongo</cp:lastModifiedBy>
  <cp:revision>2</cp:revision>
  <cp:lastPrinted>2017-11-24T11:19:00Z</cp:lastPrinted>
  <dcterms:created xsi:type="dcterms:W3CDTF">2020-12-18T15:44:00Z</dcterms:created>
  <dcterms:modified xsi:type="dcterms:W3CDTF">2020-12-18T15:44:00Z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